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073" w14:textId="06D089CB" w:rsidR="00A85EF0" w:rsidRDefault="00A85EF0" w:rsidP="00A85EF0">
      <w:pPr>
        <w:jc w:val="both"/>
        <w:rPr>
          <w:rFonts w:ascii="Arial" w:hAnsi="Arial" w:cs="Arial"/>
          <w:b/>
          <w:bCs/>
        </w:rPr>
      </w:pPr>
      <w:r>
        <w:rPr>
          <w:rFonts w:ascii="Arial" w:hAnsi="Arial" w:cs="Arial"/>
          <w:b/>
          <w:bCs/>
        </w:rPr>
        <w:t xml:space="preserve">Nekustamā īpašuma nodokļa atvieglojumu piešķiršana </w:t>
      </w:r>
      <w:r w:rsidR="002C279E">
        <w:rPr>
          <w:rFonts w:ascii="Arial" w:hAnsi="Arial" w:cs="Arial"/>
          <w:b/>
          <w:bCs/>
        </w:rPr>
        <w:t xml:space="preserve"> saimnieciskās darbības veicējiem </w:t>
      </w:r>
      <w:r>
        <w:rPr>
          <w:rFonts w:ascii="Arial" w:hAnsi="Arial" w:cs="Arial"/>
          <w:b/>
          <w:bCs/>
        </w:rPr>
        <w:t>Valmieras novadā</w:t>
      </w:r>
    </w:p>
    <w:p w14:paraId="174D6BE9" w14:textId="61DF5354" w:rsidR="00A85EF0" w:rsidRDefault="00A85EF0" w:rsidP="00A85EF0">
      <w:pPr>
        <w:jc w:val="both"/>
        <w:rPr>
          <w:rFonts w:ascii="Arial" w:hAnsi="Arial" w:cs="Arial"/>
        </w:rPr>
      </w:pPr>
      <w:r>
        <w:rPr>
          <w:rFonts w:ascii="Arial" w:hAnsi="Arial" w:cs="Arial"/>
        </w:rPr>
        <w:t>Valmieras novada</w:t>
      </w:r>
      <w:r w:rsidRPr="0036144D">
        <w:rPr>
          <w:rFonts w:ascii="Arial" w:hAnsi="Arial" w:cs="Arial"/>
        </w:rPr>
        <w:t xml:space="preserve"> pašvaldībā nekustamā īpašuma nodokļa </w:t>
      </w:r>
      <w:r w:rsidRPr="00CD4B83">
        <w:rPr>
          <w:rFonts w:ascii="Arial" w:hAnsi="Arial" w:cs="Arial"/>
        </w:rPr>
        <w:t>(turpmāk tekstā – NĪN)</w:t>
      </w:r>
      <w:r>
        <w:rPr>
          <w:rFonts w:ascii="Arial" w:hAnsi="Arial" w:cs="Arial"/>
        </w:rPr>
        <w:t xml:space="preserve"> atvieglojumu piešķiršanu</w:t>
      </w:r>
      <w:r w:rsidRPr="0036144D">
        <w:rPr>
          <w:rFonts w:ascii="Arial" w:hAnsi="Arial" w:cs="Arial"/>
        </w:rPr>
        <w:t xml:space="preserve"> nodrošina </w:t>
      </w:r>
      <w:r>
        <w:rPr>
          <w:rFonts w:ascii="Arial" w:hAnsi="Arial" w:cs="Arial"/>
        </w:rPr>
        <w:t>Centrālās pārvaldes struktūrvienība Finanšu un ekonomikas nodaļa</w:t>
      </w:r>
      <w:r w:rsidRPr="0036144D">
        <w:rPr>
          <w:rFonts w:ascii="Arial" w:hAnsi="Arial" w:cs="Arial"/>
        </w:rPr>
        <w:t>.</w:t>
      </w:r>
    </w:p>
    <w:p w14:paraId="5FDF85B1" w14:textId="34812195" w:rsidR="00A85EF0" w:rsidRDefault="00A85EF0" w:rsidP="00A85EF0">
      <w:pPr>
        <w:jc w:val="both"/>
        <w:rPr>
          <w:rFonts w:ascii="Arial" w:hAnsi="Arial" w:cs="Arial"/>
        </w:rPr>
      </w:pPr>
      <w:r>
        <w:rPr>
          <w:rFonts w:ascii="Arial" w:hAnsi="Arial" w:cs="Arial"/>
        </w:rPr>
        <w:t xml:space="preserve">Saskaņā ar </w:t>
      </w:r>
      <w:r w:rsidRPr="00CD4B83">
        <w:rPr>
          <w:rFonts w:ascii="Arial" w:hAnsi="Arial" w:cs="Arial"/>
        </w:rPr>
        <w:t xml:space="preserve">Valmieras novada pašvaldības 2021.gada </w:t>
      </w:r>
      <w:r w:rsidR="00EA126E">
        <w:rPr>
          <w:rFonts w:ascii="Arial" w:hAnsi="Arial" w:cs="Arial"/>
        </w:rPr>
        <w:t>25.novembra</w:t>
      </w:r>
      <w:r w:rsidRPr="00CD4B83">
        <w:rPr>
          <w:rFonts w:ascii="Arial" w:hAnsi="Arial" w:cs="Arial"/>
        </w:rPr>
        <w:t xml:space="preserve"> saistošaj</w:t>
      </w:r>
      <w:r>
        <w:rPr>
          <w:rFonts w:ascii="Arial" w:hAnsi="Arial" w:cs="Arial"/>
        </w:rPr>
        <w:t>iem</w:t>
      </w:r>
      <w:r w:rsidRPr="00CD4B83">
        <w:rPr>
          <w:rFonts w:ascii="Arial" w:hAnsi="Arial" w:cs="Arial"/>
        </w:rPr>
        <w:t xml:space="preserve"> noteikum</w:t>
      </w:r>
      <w:r>
        <w:rPr>
          <w:rFonts w:ascii="Arial" w:hAnsi="Arial" w:cs="Arial"/>
        </w:rPr>
        <w:t>iem</w:t>
      </w:r>
      <w:r w:rsidRPr="00CD4B83">
        <w:rPr>
          <w:rFonts w:ascii="Arial" w:hAnsi="Arial" w:cs="Arial"/>
        </w:rPr>
        <w:t xml:space="preserve"> Nr.1</w:t>
      </w:r>
      <w:r w:rsidR="00EA126E">
        <w:rPr>
          <w:rFonts w:ascii="Arial" w:hAnsi="Arial" w:cs="Arial"/>
        </w:rPr>
        <w:t>9</w:t>
      </w:r>
      <w:r w:rsidRPr="00CD4B83">
        <w:rPr>
          <w:rFonts w:ascii="Arial" w:hAnsi="Arial" w:cs="Arial"/>
        </w:rPr>
        <w:t xml:space="preserve"> “</w:t>
      </w:r>
      <w:r w:rsidR="00EA126E">
        <w:rPr>
          <w:rFonts w:ascii="Arial" w:hAnsi="Arial" w:cs="Arial"/>
        </w:rPr>
        <w:t>Nekustamā īpašuma nodokļa atvieglojumu piešķiršanas kārtība</w:t>
      </w:r>
      <w:r w:rsidRPr="00CD4B83">
        <w:rPr>
          <w:rFonts w:ascii="Arial" w:hAnsi="Arial" w:cs="Arial"/>
        </w:rPr>
        <w:t xml:space="preserve"> Valmieras novad</w:t>
      </w:r>
      <w:r w:rsidR="00EA126E">
        <w:rPr>
          <w:rFonts w:ascii="Arial" w:hAnsi="Arial" w:cs="Arial"/>
        </w:rPr>
        <w:t>ā</w:t>
      </w:r>
      <w:r w:rsidRPr="00CD4B83">
        <w:rPr>
          <w:rFonts w:ascii="Arial" w:hAnsi="Arial" w:cs="Arial"/>
        </w:rPr>
        <w:t>” </w:t>
      </w:r>
      <w:r w:rsidR="00EA126E">
        <w:rPr>
          <w:rFonts w:ascii="Arial" w:hAnsi="Arial" w:cs="Arial"/>
        </w:rPr>
        <w:t>NĪN</w:t>
      </w:r>
      <w:r w:rsidR="00EA126E" w:rsidRPr="00CD4B83">
        <w:rPr>
          <w:rFonts w:ascii="Arial" w:hAnsi="Arial" w:cs="Arial"/>
        </w:rPr>
        <w:t xml:space="preserve"> </w:t>
      </w:r>
      <w:r w:rsidR="00EA126E">
        <w:rPr>
          <w:rFonts w:ascii="Arial" w:hAnsi="Arial" w:cs="Arial"/>
        </w:rPr>
        <w:t>atvieglojumi tiek piešķirti šādām nodokļu maksātāju kategorijām</w:t>
      </w:r>
      <w:r>
        <w:rPr>
          <w:rFonts w:ascii="Arial" w:hAnsi="Arial" w:cs="Arial"/>
        </w:rPr>
        <w:t>:</w:t>
      </w:r>
    </w:p>
    <w:tbl>
      <w:tblPr>
        <w:tblStyle w:val="TableGrid"/>
        <w:tblW w:w="9254" w:type="dxa"/>
        <w:tblLayout w:type="fixed"/>
        <w:tblLook w:val="04A0" w:firstRow="1" w:lastRow="0" w:firstColumn="1" w:lastColumn="0" w:noHBand="0" w:noVBand="1"/>
      </w:tblPr>
      <w:tblGrid>
        <w:gridCol w:w="562"/>
        <w:gridCol w:w="3823"/>
        <w:gridCol w:w="1280"/>
        <w:gridCol w:w="1678"/>
        <w:gridCol w:w="1911"/>
      </w:tblGrid>
      <w:tr w:rsidR="0026396D" w:rsidRPr="0026396D" w14:paraId="53FB14B0" w14:textId="77777777" w:rsidTr="00997985">
        <w:trPr>
          <w:trHeight w:val="1449"/>
        </w:trPr>
        <w:tc>
          <w:tcPr>
            <w:tcW w:w="562" w:type="dxa"/>
          </w:tcPr>
          <w:p w14:paraId="09354189" w14:textId="5F24B8CC" w:rsidR="0026396D" w:rsidRPr="0026396D" w:rsidRDefault="0026396D" w:rsidP="00A85EF0">
            <w:pPr>
              <w:jc w:val="both"/>
              <w:rPr>
                <w:rFonts w:ascii="Arial" w:hAnsi="Arial" w:cs="Arial"/>
                <w:b/>
                <w:bCs/>
                <w:sz w:val="20"/>
                <w:szCs w:val="20"/>
              </w:rPr>
            </w:pPr>
            <w:r w:rsidRPr="0026396D">
              <w:rPr>
                <w:rFonts w:ascii="Arial" w:hAnsi="Arial" w:cs="Arial"/>
                <w:b/>
                <w:bCs/>
                <w:sz w:val="20"/>
                <w:szCs w:val="20"/>
              </w:rPr>
              <w:t>SN punkts</w:t>
            </w:r>
          </w:p>
        </w:tc>
        <w:tc>
          <w:tcPr>
            <w:tcW w:w="3823" w:type="dxa"/>
          </w:tcPr>
          <w:p w14:paraId="5D943DD9" w14:textId="64902701" w:rsidR="0026396D" w:rsidRPr="0026396D" w:rsidRDefault="0026396D" w:rsidP="00A85EF0">
            <w:pPr>
              <w:jc w:val="both"/>
              <w:rPr>
                <w:rFonts w:ascii="Arial" w:hAnsi="Arial" w:cs="Arial"/>
                <w:b/>
                <w:bCs/>
                <w:sz w:val="20"/>
                <w:szCs w:val="20"/>
              </w:rPr>
            </w:pPr>
            <w:r w:rsidRPr="0026396D">
              <w:rPr>
                <w:rFonts w:ascii="Arial" w:hAnsi="Arial" w:cs="Arial"/>
                <w:b/>
                <w:bCs/>
                <w:sz w:val="20"/>
                <w:szCs w:val="20"/>
              </w:rPr>
              <w:t>NĪN atvieglojumu saņēmēju kategorija</w:t>
            </w:r>
          </w:p>
        </w:tc>
        <w:tc>
          <w:tcPr>
            <w:tcW w:w="1280" w:type="dxa"/>
          </w:tcPr>
          <w:p w14:paraId="1B15A63F" w14:textId="18000F66" w:rsidR="0026396D" w:rsidRPr="00997985" w:rsidRDefault="0026396D" w:rsidP="0026396D">
            <w:pPr>
              <w:ind w:right="-107"/>
              <w:jc w:val="both"/>
              <w:rPr>
                <w:rFonts w:ascii="Arial" w:hAnsi="Arial" w:cs="Arial"/>
                <w:b/>
                <w:bCs/>
                <w:sz w:val="16"/>
                <w:szCs w:val="16"/>
              </w:rPr>
            </w:pPr>
            <w:r w:rsidRPr="00997985">
              <w:rPr>
                <w:rFonts w:ascii="Arial" w:hAnsi="Arial" w:cs="Arial"/>
                <w:b/>
                <w:bCs/>
                <w:sz w:val="16"/>
                <w:szCs w:val="16"/>
              </w:rPr>
              <w:t>Atvieglojumu apmērs</w:t>
            </w:r>
          </w:p>
        </w:tc>
        <w:tc>
          <w:tcPr>
            <w:tcW w:w="1678" w:type="dxa"/>
          </w:tcPr>
          <w:p w14:paraId="28976E65" w14:textId="7EA723CC" w:rsidR="0026396D" w:rsidRPr="0026396D" w:rsidRDefault="0026396D" w:rsidP="00A85EF0">
            <w:pPr>
              <w:jc w:val="both"/>
              <w:rPr>
                <w:rFonts w:ascii="Arial" w:hAnsi="Arial" w:cs="Arial"/>
                <w:b/>
                <w:bCs/>
                <w:sz w:val="20"/>
                <w:szCs w:val="20"/>
              </w:rPr>
            </w:pPr>
            <w:r w:rsidRPr="0026396D">
              <w:rPr>
                <w:rFonts w:ascii="Arial" w:hAnsi="Arial" w:cs="Arial"/>
                <w:b/>
                <w:bCs/>
                <w:sz w:val="20"/>
                <w:szCs w:val="20"/>
              </w:rPr>
              <w:t>Atvieglojumu objekts</w:t>
            </w:r>
          </w:p>
        </w:tc>
        <w:tc>
          <w:tcPr>
            <w:tcW w:w="1911" w:type="dxa"/>
          </w:tcPr>
          <w:p w14:paraId="5472D24F" w14:textId="3DB104F0" w:rsidR="0026396D" w:rsidRPr="0026396D" w:rsidRDefault="0026396D" w:rsidP="00A85EF0">
            <w:pPr>
              <w:jc w:val="both"/>
              <w:rPr>
                <w:rFonts w:ascii="Arial" w:hAnsi="Arial" w:cs="Arial"/>
                <w:b/>
                <w:bCs/>
                <w:sz w:val="20"/>
                <w:szCs w:val="20"/>
              </w:rPr>
            </w:pPr>
            <w:r w:rsidRPr="0026396D">
              <w:rPr>
                <w:rFonts w:ascii="Arial" w:hAnsi="Arial" w:cs="Arial"/>
                <w:b/>
                <w:bCs/>
                <w:sz w:val="20"/>
                <w:szCs w:val="20"/>
              </w:rPr>
              <w:t>Iesniedzamie dokumenti</w:t>
            </w:r>
          </w:p>
        </w:tc>
      </w:tr>
      <w:tr w:rsidR="0026396D" w14:paraId="73E8751B" w14:textId="77777777" w:rsidTr="00997985">
        <w:tc>
          <w:tcPr>
            <w:tcW w:w="562" w:type="dxa"/>
          </w:tcPr>
          <w:p w14:paraId="6F3C201E" w14:textId="0F15A8BF" w:rsidR="0026396D" w:rsidRPr="0026396D" w:rsidRDefault="0026396D" w:rsidP="00A85EF0">
            <w:pPr>
              <w:jc w:val="both"/>
              <w:rPr>
                <w:rFonts w:ascii="Arial" w:hAnsi="Arial" w:cs="Arial"/>
                <w:color w:val="000000" w:themeColor="text1"/>
                <w:sz w:val="20"/>
                <w:szCs w:val="20"/>
              </w:rPr>
            </w:pPr>
            <w:r w:rsidRPr="0026396D">
              <w:rPr>
                <w:rFonts w:ascii="Arial" w:hAnsi="Arial" w:cs="Arial"/>
                <w:color w:val="000000" w:themeColor="text1"/>
                <w:sz w:val="20"/>
                <w:szCs w:val="20"/>
              </w:rPr>
              <w:t>13</w:t>
            </w:r>
          </w:p>
        </w:tc>
        <w:tc>
          <w:tcPr>
            <w:tcW w:w="3823" w:type="dxa"/>
          </w:tcPr>
          <w:p w14:paraId="625584AB" w14:textId="339A3785" w:rsidR="0026396D" w:rsidRPr="0026396D" w:rsidRDefault="0026396D" w:rsidP="00A85EF0">
            <w:pPr>
              <w:jc w:val="both"/>
              <w:rPr>
                <w:rFonts w:ascii="Arial" w:hAnsi="Arial" w:cs="Arial"/>
                <w:sz w:val="20"/>
                <w:szCs w:val="20"/>
              </w:rPr>
            </w:pPr>
            <w:r w:rsidRPr="0026396D">
              <w:rPr>
                <w:rFonts w:ascii="Arial" w:hAnsi="Arial" w:cs="Arial"/>
                <w:color w:val="000000" w:themeColor="text1"/>
                <w:sz w:val="20"/>
                <w:szCs w:val="20"/>
              </w:rPr>
              <w:t>Nodokļa maksātājs, kura īpašumā vai lietojumā ir ēka – vasaras terase vai vasaras kafejnīca, kurai ir sezonas rakstura pielietojums.</w:t>
            </w:r>
          </w:p>
        </w:tc>
        <w:tc>
          <w:tcPr>
            <w:tcW w:w="1280" w:type="dxa"/>
          </w:tcPr>
          <w:p w14:paraId="05CF8112" w14:textId="202A4E09" w:rsidR="0026396D" w:rsidRPr="00997985" w:rsidRDefault="0026396D" w:rsidP="00A85EF0">
            <w:pPr>
              <w:jc w:val="both"/>
              <w:rPr>
                <w:rFonts w:ascii="Arial" w:hAnsi="Arial" w:cs="Arial"/>
                <w:sz w:val="20"/>
                <w:szCs w:val="20"/>
              </w:rPr>
            </w:pPr>
            <w:r w:rsidRPr="00997985">
              <w:rPr>
                <w:rFonts w:ascii="Arial" w:hAnsi="Arial" w:cs="Arial"/>
                <w:sz w:val="20"/>
                <w:szCs w:val="20"/>
              </w:rPr>
              <w:t>50%</w:t>
            </w:r>
          </w:p>
        </w:tc>
        <w:tc>
          <w:tcPr>
            <w:tcW w:w="1678" w:type="dxa"/>
          </w:tcPr>
          <w:p w14:paraId="04974711" w14:textId="0F7047E7" w:rsidR="0026396D" w:rsidRPr="0026396D" w:rsidRDefault="0026396D" w:rsidP="00A85EF0">
            <w:pPr>
              <w:jc w:val="both"/>
              <w:rPr>
                <w:rFonts w:ascii="Arial" w:hAnsi="Arial" w:cs="Arial"/>
                <w:sz w:val="20"/>
                <w:szCs w:val="20"/>
              </w:rPr>
            </w:pPr>
            <w:r w:rsidRPr="0026396D">
              <w:rPr>
                <w:rFonts w:ascii="Arial" w:hAnsi="Arial" w:cs="Arial"/>
                <w:color w:val="000000" w:themeColor="text1"/>
                <w:sz w:val="20"/>
                <w:szCs w:val="20"/>
              </w:rPr>
              <w:t>vasaras terase vai vasaras kafejnīca</w:t>
            </w:r>
          </w:p>
        </w:tc>
        <w:tc>
          <w:tcPr>
            <w:tcW w:w="1911" w:type="dxa"/>
          </w:tcPr>
          <w:p w14:paraId="3A8DFB24" w14:textId="4C05C9E7" w:rsidR="0026396D" w:rsidRPr="009236F6" w:rsidRDefault="009236F6" w:rsidP="009236F6">
            <w:pPr>
              <w:pStyle w:val="ListParagraph"/>
              <w:numPr>
                <w:ilvl w:val="0"/>
                <w:numId w:val="9"/>
              </w:numPr>
              <w:ind w:left="347"/>
              <w:jc w:val="both"/>
              <w:rPr>
                <w:rFonts w:ascii="Arial" w:hAnsi="Arial" w:cs="Arial"/>
                <w:sz w:val="20"/>
                <w:szCs w:val="20"/>
              </w:rPr>
            </w:pPr>
            <w:r w:rsidRPr="009236F6">
              <w:rPr>
                <w:rFonts w:ascii="Arial" w:hAnsi="Arial" w:cs="Arial"/>
                <w:sz w:val="20"/>
                <w:szCs w:val="20"/>
              </w:rPr>
              <w:t>iesniegums</w:t>
            </w:r>
            <w:r w:rsidR="004B12B4">
              <w:rPr>
                <w:rFonts w:ascii="Arial" w:hAnsi="Arial" w:cs="Arial"/>
                <w:sz w:val="20"/>
                <w:szCs w:val="20"/>
              </w:rPr>
              <w:t>*</w:t>
            </w:r>
          </w:p>
        </w:tc>
      </w:tr>
      <w:tr w:rsidR="009236F6" w14:paraId="69EE02FC" w14:textId="77777777" w:rsidTr="00997985">
        <w:tc>
          <w:tcPr>
            <w:tcW w:w="562" w:type="dxa"/>
          </w:tcPr>
          <w:p w14:paraId="20D93444" w14:textId="4979958B"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14</w:t>
            </w:r>
          </w:p>
        </w:tc>
        <w:tc>
          <w:tcPr>
            <w:tcW w:w="3823" w:type="dxa"/>
          </w:tcPr>
          <w:p w14:paraId="37E195A1" w14:textId="3E50B8F7" w:rsidR="009236F6" w:rsidRPr="0026396D" w:rsidRDefault="009236F6" w:rsidP="009236F6">
            <w:pPr>
              <w:jc w:val="both"/>
              <w:rPr>
                <w:rFonts w:ascii="Arial" w:hAnsi="Arial" w:cs="Arial"/>
                <w:sz w:val="20"/>
                <w:szCs w:val="20"/>
              </w:rPr>
            </w:pPr>
            <w:r w:rsidRPr="0026396D">
              <w:rPr>
                <w:rFonts w:ascii="Arial" w:hAnsi="Arial" w:cs="Arial"/>
                <w:color w:val="000000" w:themeColor="text1"/>
                <w:sz w:val="20"/>
                <w:szCs w:val="20"/>
              </w:rPr>
              <w:t>Nodokļa maksātājs, kurš savu saimniecisko darbību veic Pašvaldības izglītības iestāžu telpās veicot izglītojamo komplekso ēdināšanu vai pansionāta telpās, veicot pansionāta iemītnieku komplekso ēdināšanu.</w:t>
            </w:r>
          </w:p>
        </w:tc>
        <w:tc>
          <w:tcPr>
            <w:tcW w:w="1280" w:type="dxa"/>
          </w:tcPr>
          <w:p w14:paraId="64360F0A" w14:textId="6E6FD3F4" w:rsidR="009236F6" w:rsidRPr="00997985" w:rsidRDefault="009236F6" w:rsidP="009236F6">
            <w:pPr>
              <w:jc w:val="both"/>
              <w:rPr>
                <w:rFonts w:ascii="Arial" w:hAnsi="Arial" w:cs="Arial"/>
                <w:sz w:val="20"/>
                <w:szCs w:val="20"/>
              </w:rPr>
            </w:pPr>
            <w:r w:rsidRPr="00997985">
              <w:rPr>
                <w:rFonts w:ascii="Arial" w:hAnsi="Arial" w:cs="Arial"/>
                <w:sz w:val="20"/>
                <w:szCs w:val="20"/>
              </w:rPr>
              <w:t>90%</w:t>
            </w:r>
          </w:p>
        </w:tc>
        <w:tc>
          <w:tcPr>
            <w:tcW w:w="1678" w:type="dxa"/>
          </w:tcPr>
          <w:p w14:paraId="08EBCC67" w14:textId="296AC716" w:rsidR="009236F6" w:rsidRPr="0026396D" w:rsidRDefault="009236F6" w:rsidP="009236F6">
            <w:pPr>
              <w:jc w:val="both"/>
              <w:rPr>
                <w:rFonts w:ascii="Arial" w:hAnsi="Arial" w:cs="Arial"/>
                <w:sz w:val="20"/>
                <w:szCs w:val="20"/>
              </w:rPr>
            </w:pPr>
            <w:r w:rsidRPr="0026396D">
              <w:rPr>
                <w:rFonts w:ascii="Arial" w:hAnsi="Arial" w:cs="Arial"/>
                <w:color w:val="000000" w:themeColor="text1"/>
                <w:sz w:val="20"/>
                <w:szCs w:val="20"/>
              </w:rPr>
              <w:t>nomā esošas izglītības iestāžu telpas vai pansionāta telpas un zeme</w:t>
            </w:r>
          </w:p>
        </w:tc>
        <w:tc>
          <w:tcPr>
            <w:tcW w:w="1911" w:type="dxa"/>
          </w:tcPr>
          <w:p w14:paraId="590D2FC2" w14:textId="151F709F" w:rsidR="009236F6" w:rsidRPr="009236F6" w:rsidRDefault="009236F6" w:rsidP="009236F6">
            <w:pPr>
              <w:pStyle w:val="ListParagraph"/>
              <w:numPr>
                <w:ilvl w:val="0"/>
                <w:numId w:val="9"/>
              </w:numPr>
              <w:ind w:left="347"/>
              <w:jc w:val="both"/>
              <w:rPr>
                <w:rFonts w:ascii="Arial" w:hAnsi="Arial" w:cs="Arial"/>
                <w:sz w:val="20"/>
                <w:szCs w:val="20"/>
              </w:rPr>
            </w:pPr>
            <w:r w:rsidRPr="009236F6">
              <w:rPr>
                <w:rFonts w:ascii="Arial" w:hAnsi="Arial" w:cs="Arial"/>
                <w:sz w:val="20"/>
                <w:szCs w:val="20"/>
              </w:rPr>
              <w:t>iesniegums</w:t>
            </w:r>
            <w:r w:rsidR="004B12B4">
              <w:rPr>
                <w:rFonts w:ascii="Arial" w:hAnsi="Arial" w:cs="Arial"/>
                <w:sz w:val="20"/>
                <w:szCs w:val="20"/>
              </w:rPr>
              <w:t>*</w:t>
            </w:r>
          </w:p>
        </w:tc>
      </w:tr>
      <w:tr w:rsidR="009236F6" w14:paraId="085E7132" w14:textId="77777777" w:rsidTr="00997985">
        <w:tc>
          <w:tcPr>
            <w:tcW w:w="562" w:type="dxa"/>
          </w:tcPr>
          <w:p w14:paraId="49D9E201" w14:textId="12C3BD63"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15</w:t>
            </w:r>
          </w:p>
        </w:tc>
        <w:tc>
          <w:tcPr>
            <w:tcW w:w="3823" w:type="dxa"/>
          </w:tcPr>
          <w:p w14:paraId="4C82AE8C" w14:textId="73D19115"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maksātājs, kura īpašumā ir rūpnieciskās ražošanas ēka,</w:t>
            </w:r>
            <w:r>
              <w:rPr>
                <w:rFonts w:ascii="Arial" w:hAnsi="Arial" w:cs="Arial"/>
                <w:color w:val="000000" w:themeColor="text1"/>
                <w:sz w:val="20"/>
                <w:szCs w:val="20"/>
              </w:rPr>
              <w:t xml:space="preserve"> ja </w:t>
            </w:r>
            <w:r w:rsidRPr="0026396D">
              <w:rPr>
                <w:rFonts w:ascii="Arial" w:hAnsi="Arial" w:cs="Arial"/>
                <w:color w:val="000000" w:themeColor="text1"/>
                <w:sz w:val="20"/>
                <w:szCs w:val="20"/>
              </w:rPr>
              <w:t>tajā notiek pamatražošana un taksācijas gada 30. jūnijā ir:</w:t>
            </w:r>
          </w:p>
          <w:p w14:paraId="4C6F2107" w14:textId="2DCCA3BC" w:rsidR="009236F6" w:rsidRPr="0026396D" w:rsidRDefault="009236F6" w:rsidP="009236F6">
            <w:pPr>
              <w:pStyle w:val="tv213"/>
              <w:numPr>
                <w:ilvl w:val="0"/>
                <w:numId w:val="5"/>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saglabāta ražošana;</w:t>
            </w:r>
          </w:p>
          <w:p w14:paraId="60915907" w14:textId="77777777" w:rsidR="009236F6" w:rsidRDefault="009236F6" w:rsidP="009236F6">
            <w:pPr>
              <w:pStyle w:val="tv213"/>
              <w:numPr>
                <w:ilvl w:val="0"/>
                <w:numId w:val="5"/>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investēti līdzekļi ražošanā laika periodā no iepriekšējā taksācijas gada 1. jūlija līdz kārtējā taksācijas gada 30. jūnijam;</w:t>
            </w:r>
          </w:p>
          <w:p w14:paraId="6AF571C2" w14:textId="5E5AE85E" w:rsidR="009236F6" w:rsidRPr="00997985" w:rsidRDefault="009236F6" w:rsidP="009236F6">
            <w:pPr>
              <w:pStyle w:val="tv213"/>
              <w:numPr>
                <w:ilvl w:val="0"/>
                <w:numId w:val="5"/>
              </w:numPr>
              <w:shd w:val="clear" w:color="auto" w:fill="FFFFFF"/>
              <w:spacing w:before="0" w:beforeAutospacing="0" w:after="0" w:afterAutospacing="0" w:line="293" w:lineRule="atLeast"/>
              <w:jc w:val="both"/>
              <w:rPr>
                <w:rFonts w:ascii="Arial" w:hAnsi="Arial" w:cs="Arial"/>
                <w:color w:val="000000" w:themeColor="text1"/>
                <w:sz w:val="20"/>
                <w:szCs w:val="20"/>
              </w:rPr>
            </w:pPr>
            <w:r w:rsidRPr="00997985">
              <w:rPr>
                <w:rFonts w:ascii="Arial" w:hAnsi="Arial" w:cs="Arial"/>
                <w:color w:val="000000" w:themeColor="text1"/>
                <w:sz w:val="20"/>
                <w:szCs w:val="20"/>
              </w:rPr>
              <w:t>saglabātas darbavietas virs 80 % attiecībā pret vidējo darbavietu skaitu iepriekšējā taksācijas periodā</w:t>
            </w:r>
          </w:p>
        </w:tc>
        <w:tc>
          <w:tcPr>
            <w:tcW w:w="1280" w:type="dxa"/>
          </w:tcPr>
          <w:p w14:paraId="651A151D" w14:textId="2E159FA4" w:rsidR="009236F6" w:rsidRPr="00997985" w:rsidRDefault="009236F6" w:rsidP="009236F6">
            <w:pPr>
              <w:ind w:right="-117"/>
              <w:jc w:val="both"/>
              <w:rPr>
                <w:rFonts w:ascii="Arial" w:hAnsi="Arial" w:cs="Arial"/>
                <w:sz w:val="20"/>
                <w:szCs w:val="20"/>
              </w:rPr>
            </w:pPr>
            <w:r w:rsidRPr="00997985">
              <w:rPr>
                <w:rFonts w:ascii="Arial" w:hAnsi="Arial" w:cs="Arial"/>
                <w:sz w:val="20"/>
                <w:szCs w:val="20"/>
              </w:rPr>
              <w:t>25%</w:t>
            </w:r>
          </w:p>
        </w:tc>
        <w:tc>
          <w:tcPr>
            <w:tcW w:w="1678" w:type="dxa"/>
          </w:tcPr>
          <w:p w14:paraId="34A8DA45" w14:textId="09C7BAF3" w:rsidR="009236F6" w:rsidRPr="0026396D" w:rsidRDefault="009236F6" w:rsidP="009236F6">
            <w:pPr>
              <w:jc w:val="both"/>
              <w:rPr>
                <w:rFonts w:ascii="Arial" w:hAnsi="Arial" w:cs="Arial"/>
                <w:sz w:val="20"/>
                <w:szCs w:val="20"/>
              </w:rPr>
            </w:pPr>
            <w:r>
              <w:rPr>
                <w:rFonts w:ascii="Arial" w:hAnsi="Arial" w:cs="Arial"/>
                <w:color w:val="000000" w:themeColor="text1"/>
                <w:sz w:val="20"/>
                <w:szCs w:val="20"/>
              </w:rPr>
              <w:t>ē</w:t>
            </w:r>
            <w:r w:rsidRPr="0026396D">
              <w:rPr>
                <w:rFonts w:ascii="Arial" w:hAnsi="Arial" w:cs="Arial"/>
                <w:color w:val="000000" w:themeColor="text1"/>
                <w:sz w:val="20"/>
                <w:szCs w:val="20"/>
              </w:rPr>
              <w:t>ka</w:t>
            </w:r>
            <w:r>
              <w:rPr>
                <w:rFonts w:ascii="Arial" w:hAnsi="Arial" w:cs="Arial"/>
                <w:color w:val="000000" w:themeColor="text1"/>
                <w:sz w:val="20"/>
                <w:szCs w:val="20"/>
              </w:rPr>
              <w:t xml:space="preserve"> ar </w:t>
            </w:r>
            <w:r w:rsidRPr="0026396D">
              <w:rPr>
                <w:rFonts w:ascii="Arial" w:hAnsi="Arial" w:cs="Arial"/>
                <w:color w:val="000000" w:themeColor="text1"/>
                <w:sz w:val="20"/>
                <w:szCs w:val="20"/>
              </w:rPr>
              <w:t>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 xml:space="preserve">u – </w:t>
            </w:r>
            <w:r w:rsidRPr="0026396D">
              <w:rPr>
                <w:rFonts w:ascii="Arial" w:hAnsi="Arial" w:cs="Arial"/>
                <w:color w:val="000000" w:themeColor="text1"/>
                <w:sz w:val="20"/>
                <w:szCs w:val="20"/>
              </w:rPr>
              <w:t>kod</w:t>
            </w:r>
            <w:r>
              <w:rPr>
                <w:rFonts w:ascii="Arial" w:hAnsi="Arial" w:cs="Arial"/>
                <w:color w:val="000000" w:themeColor="text1"/>
                <w:sz w:val="20"/>
                <w:szCs w:val="20"/>
              </w:rPr>
              <w:t xml:space="preserve">s </w:t>
            </w:r>
            <w:r w:rsidRPr="0026396D">
              <w:rPr>
                <w:rFonts w:ascii="Arial" w:hAnsi="Arial" w:cs="Arial"/>
                <w:color w:val="000000" w:themeColor="text1"/>
                <w:sz w:val="20"/>
                <w:szCs w:val="20"/>
              </w:rPr>
              <w:t>12</w:t>
            </w:r>
            <w:r>
              <w:rPr>
                <w:rFonts w:ascii="Arial" w:hAnsi="Arial" w:cs="Arial"/>
                <w:color w:val="000000" w:themeColor="text1"/>
                <w:sz w:val="20"/>
                <w:szCs w:val="20"/>
              </w:rPr>
              <w:t>5</w:t>
            </w:r>
            <w:r w:rsidRPr="0026396D">
              <w:rPr>
                <w:rFonts w:ascii="Arial" w:hAnsi="Arial" w:cs="Arial"/>
                <w:color w:val="000000" w:themeColor="text1"/>
                <w:sz w:val="20"/>
                <w:szCs w:val="20"/>
              </w:rPr>
              <w:t>1</w:t>
            </w:r>
          </w:p>
        </w:tc>
        <w:tc>
          <w:tcPr>
            <w:tcW w:w="1911" w:type="dxa"/>
          </w:tcPr>
          <w:p w14:paraId="67D4D31C" w14:textId="40D7B8E8" w:rsidR="009236F6" w:rsidRDefault="009236F6" w:rsidP="009236F6">
            <w:pPr>
              <w:pStyle w:val="ListParagraph"/>
              <w:numPr>
                <w:ilvl w:val="0"/>
                <w:numId w:val="9"/>
              </w:numPr>
              <w:ind w:left="347"/>
              <w:jc w:val="both"/>
              <w:rPr>
                <w:rFonts w:ascii="Arial" w:hAnsi="Arial" w:cs="Arial"/>
                <w:sz w:val="20"/>
                <w:szCs w:val="20"/>
              </w:rPr>
            </w:pPr>
            <w:r w:rsidRPr="009236F6">
              <w:rPr>
                <w:rFonts w:ascii="Arial" w:hAnsi="Arial" w:cs="Arial"/>
                <w:sz w:val="20"/>
                <w:szCs w:val="20"/>
              </w:rPr>
              <w:t>iesniegums</w:t>
            </w:r>
            <w:r w:rsidR="004B12B4">
              <w:rPr>
                <w:rFonts w:ascii="Arial" w:hAnsi="Arial" w:cs="Arial"/>
                <w:sz w:val="20"/>
                <w:szCs w:val="20"/>
              </w:rPr>
              <w:t>**</w:t>
            </w:r>
            <w:r>
              <w:rPr>
                <w:rFonts w:ascii="Arial" w:hAnsi="Arial" w:cs="Arial"/>
                <w:sz w:val="20"/>
                <w:szCs w:val="20"/>
              </w:rPr>
              <w:t>;</w:t>
            </w:r>
          </w:p>
          <w:p w14:paraId="1059090E" w14:textId="77777777" w:rsidR="003A7324" w:rsidRDefault="003A7324" w:rsidP="009236F6">
            <w:pPr>
              <w:pStyle w:val="ListParagraph"/>
              <w:numPr>
                <w:ilvl w:val="0"/>
                <w:numId w:val="9"/>
              </w:numPr>
              <w:ind w:left="347"/>
              <w:jc w:val="both"/>
              <w:rPr>
                <w:rFonts w:ascii="Arial" w:hAnsi="Arial" w:cs="Arial"/>
                <w:sz w:val="20"/>
                <w:szCs w:val="20"/>
              </w:rPr>
            </w:pPr>
            <w:r>
              <w:rPr>
                <w:rFonts w:ascii="Arial" w:hAnsi="Arial" w:cs="Arial"/>
                <w:sz w:val="20"/>
                <w:szCs w:val="20"/>
              </w:rPr>
              <w:t>apliecinājums, ka ražošanas ēkās ir saglabāta ražošana un saglabātas darba vietas;</w:t>
            </w:r>
          </w:p>
          <w:p w14:paraId="4CCA4FA6" w14:textId="25B0FAD7" w:rsidR="009236F6" w:rsidRPr="009236F6" w:rsidRDefault="003A7324" w:rsidP="009236F6">
            <w:pPr>
              <w:pStyle w:val="ListParagraph"/>
              <w:numPr>
                <w:ilvl w:val="0"/>
                <w:numId w:val="9"/>
              </w:numPr>
              <w:ind w:left="347"/>
              <w:jc w:val="both"/>
              <w:rPr>
                <w:rFonts w:ascii="Arial" w:hAnsi="Arial" w:cs="Arial"/>
                <w:sz w:val="20"/>
                <w:szCs w:val="20"/>
              </w:rPr>
            </w:pPr>
            <w:r>
              <w:rPr>
                <w:rFonts w:ascii="Arial" w:hAnsi="Arial" w:cs="Arial"/>
                <w:sz w:val="20"/>
                <w:szCs w:val="20"/>
              </w:rPr>
              <w:t xml:space="preserve">pievienotas </w:t>
            </w:r>
            <w:r w:rsidR="009236F6">
              <w:rPr>
                <w:rFonts w:ascii="Arial" w:hAnsi="Arial" w:cs="Arial"/>
                <w:sz w:val="20"/>
                <w:szCs w:val="20"/>
              </w:rPr>
              <w:t>dokumentu kopijas, kas apstiprina līdzekļu investēšanu ražošanā</w:t>
            </w:r>
          </w:p>
        </w:tc>
      </w:tr>
      <w:tr w:rsidR="009236F6" w14:paraId="4EA64935" w14:textId="77777777" w:rsidTr="00997985">
        <w:tc>
          <w:tcPr>
            <w:tcW w:w="562" w:type="dxa"/>
          </w:tcPr>
          <w:p w14:paraId="52B44ED2" w14:textId="69B6BAD0" w:rsidR="009236F6" w:rsidRPr="0026396D" w:rsidRDefault="009236F6" w:rsidP="009236F6">
            <w:pPr>
              <w:pStyle w:val="tv213"/>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16</w:t>
            </w:r>
          </w:p>
        </w:tc>
        <w:tc>
          <w:tcPr>
            <w:tcW w:w="3823" w:type="dxa"/>
          </w:tcPr>
          <w:p w14:paraId="6C5697C1" w14:textId="58285BA7" w:rsidR="009236F6" w:rsidRPr="0026396D" w:rsidRDefault="009236F6" w:rsidP="009236F6">
            <w:pPr>
              <w:pStyle w:val="tv213"/>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kura īpašumā ir viesnīca, viesu izmitināšanas vai tūristu izmitināšanas ēka</w:t>
            </w:r>
            <w:r>
              <w:rPr>
                <w:rFonts w:ascii="Arial" w:hAnsi="Arial" w:cs="Arial"/>
                <w:color w:val="000000" w:themeColor="text1"/>
                <w:sz w:val="20"/>
                <w:szCs w:val="20"/>
              </w:rPr>
              <w:t>, ja tajā:</w:t>
            </w:r>
          </w:p>
          <w:p w14:paraId="62B9A011" w14:textId="239656C9" w:rsidR="009236F6" w:rsidRPr="0026396D" w:rsidRDefault="009236F6" w:rsidP="009236F6">
            <w:pPr>
              <w:pStyle w:val="tv213"/>
              <w:numPr>
                <w:ilvl w:val="0"/>
                <w:numId w:val="6"/>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tiek sniegts viesu izmitināšanas pakalpojums;</w:t>
            </w:r>
          </w:p>
          <w:p w14:paraId="063EAA5C" w14:textId="1D21448C" w:rsidR="009236F6" w:rsidRPr="0026396D" w:rsidRDefault="009236F6" w:rsidP="009236F6">
            <w:pPr>
              <w:pStyle w:val="tv213"/>
              <w:numPr>
                <w:ilvl w:val="0"/>
                <w:numId w:val="6"/>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saglabātas darbavietas virs 80 % attiecībā pret vidējo darbavietu skaitu iepriekšējā taksācijas periodā.</w:t>
            </w:r>
          </w:p>
          <w:p w14:paraId="2A292F22" w14:textId="2D1A3A67" w:rsidR="009236F6" w:rsidRPr="0026396D" w:rsidRDefault="009236F6" w:rsidP="009236F6">
            <w:pPr>
              <w:jc w:val="both"/>
              <w:rPr>
                <w:rFonts w:ascii="Arial" w:hAnsi="Arial" w:cs="Arial"/>
                <w:sz w:val="20"/>
                <w:szCs w:val="20"/>
              </w:rPr>
            </w:pPr>
          </w:p>
        </w:tc>
        <w:tc>
          <w:tcPr>
            <w:tcW w:w="1280" w:type="dxa"/>
          </w:tcPr>
          <w:p w14:paraId="0901E606" w14:textId="6764A55D" w:rsidR="009236F6" w:rsidRPr="00997985" w:rsidRDefault="009236F6" w:rsidP="009236F6">
            <w:pPr>
              <w:jc w:val="both"/>
              <w:rPr>
                <w:rFonts w:ascii="Arial" w:hAnsi="Arial" w:cs="Arial"/>
                <w:sz w:val="20"/>
                <w:szCs w:val="20"/>
              </w:rPr>
            </w:pPr>
            <w:r w:rsidRPr="00997985">
              <w:rPr>
                <w:rFonts w:ascii="Arial" w:hAnsi="Arial" w:cs="Arial"/>
                <w:sz w:val="20"/>
                <w:szCs w:val="20"/>
              </w:rPr>
              <w:t>25%</w:t>
            </w:r>
          </w:p>
        </w:tc>
        <w:tc>
          <w:tcPr>
            <w:tcW w:w="1678" w:type="dxa"/>
          </w:tcPr>
          <w:p w14:paraId="28E23046" w14:textId="7C14F729" w:rsidR="009236F6" w:rsidRPr="0026396D" w:rsidRDefault="009236F6" w:rsidP="009236F6">
            <w:pPr>
              <w:jc w:val="both"/>
              <w:rPr>
                <w:rFonts w:ascii="Arial" w:hAnsi="Arial" w:cs="Arial"/>
                <w:sz w:val="20"/>
                <w:szCs w:val="20"/>
              </w:rPr>
            </w:pPr>
            <w:r>
              <w:rPr>
                <w:rFonts w:ascii="Arial" w:hAnsi="Arial" w:cs="Arial"/>
                <w:color w:val="000000" w:themeColor="text1"/>
                <w:sz w:val="20"/>
                <w:szCs w:val="20"/>
              </w:rPr>
              <w:t>ē</w:t>
            </w:r>
            <w:r w:rsidRPr="0026396D">
              <w:rPr>
                <w:rFonts w:ascii="Arial" w:hAnsi="Arial" w:cs="Arial"/>
                <w:color w:val="000000" w:themeColor="text1"/>
                <w:sz w:val="20"/>
                <w:szCs w:val="20"/>
              </w:rPr>
              <w:t>ka</w:t>
            </w:r>
            <w:r>
              <w:rPr>
                <w:rFonts w:ascii="Arial" w:hAnsi="Arial" w:cs="Arial"/>
                <w:color w:val="000000" w:themeColor="text1"/>
                <w:sz w:val="20"/>
                <w:szCs w:val="20"/>
              </w:rPr>
              <w:t xml:space="preserve"> ar </w:t>
            </w:r>
            <w:r w:rsidRPr="0026396D">
              <w:rPr>
                <w:rFonts w:ascii="Arial" w:hAnsi="Arial" w:cs="Arial"/>
                <w:color w:val="000000" w:themeColor="text1"/>
                <w:sz w:val="20"/>
                <w:szCs w:val="20"/>
              </w:rPr>
              <w:t>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u –</w:t>
            </w:r>
            <w:r w:rsidRPr="0026396D">
              <w:rPr>
                <w:rFonts w:ascii="Arial" w:hAnsi="Arial" w:cs="Arial"/>
                <w:color w:val="000000" w:themeColor="text1"/>
                <w:sz w:val="20"/>
                <w:szCs w:val="20"/>
              </w:rPr>
              <w:t xml:space="preserve"> kod</w:t>
            </w:r>
            <w:r>
              <w:rPr>
                <w:rFonts w:ascii="Arial" w:hAnsi="Arial" w:cs="Arial"/>
                <w:color w:val="000000" w:themeColor="text1"/>
                <w:sz w:val="20"/>
                <w:szCs w:val="20"/>
              </w:rPr>
              <w:t xml:space="preserve">s </w:t>
            </w:r>
            <w:r w:rsidRPr="0026396D">
              <w:rPr>
                <w:rFonts w:ascii="Arial" w:hAnsi="Arial" w:cs="Arial"/>
                <w:color w:val="000000" w:themeColor="text1"/>
                <w:sz w:val="20"/>
                <w:szCs w:val="20"/>
              </w:rPr>
              <w:t>12</w:t>
            </w:r>
            <w:r>
              <w:rPr>
                <w:rFonts w:ascii="Arial" w:hAnsi="Arial" w:cs="Arial"/>
                <w:color w:val="000000" w:themeColor="text1"/>
                <w:sz w:val="20"/>
                <w:szCs w:val="20"/>
              </w:rPr>
              <w:t>1</w:t>
            </w:r>
            <w:r w:rsidRPr="0026396D">
              <w:rPr>
                <w:rFonts w:ascii="Arial" w:hAnsi="Arial" w:cs="Arial"/>
                <w:color w:val="000000" w:themeColor="text1"/>
                <w:sz w:val="20"/>
                <w:szCs w:val="20"/>
              </w:rPr>
              <w:t>1</w:t>
            </w:r>
          </w:p>
        </w:tc>
        <w:tc>
          <w:tcPr>
            <w:tcW w:w="1911" w:type="dxa"/>
          </w:tcPr>
          <w:p w14:paraId="41D7C402" w14:textId="01B5CD2E" w:rsidR="009236F6" w:rsidRDefault="009236F6" w:rsidP="009236F6">
            <w:pPr>
              <w:pStyle w:val="ListParagraph"/>
              <w:numPr>
                <w:ilvl w:val="0"/>
                <w:numId w:val="9"/>
              </w:numPr>
              <w:ind w:left="347"/>
              <w:jc w:val="both"/>
              <w:rPr>
                <w:rFonts w:ascii="Arial" w:hAnsi="Arial" w:cs="Arial"/>
                <w:sz w:val="20"/>
                <w:szCs w:val="20"/>
              </w:rPr>
            </w:pPr>
            <w:r w:rsidRPr="009236F6">
              <w:rPr>
                <w:rFonts w:ascii="Arial" w:hAnsi="Arial" w:cs="Arial"/>
                <w:sz w:val="20"/>
                <w:szCs w:val="20"/>
              </w:rPr>
              <w:t>iesniegums</w:t>
            </w:r>
            <w:r w:rsidR="004B12B4">
              <w:rPr>
                <w:rFonts w:ascii="Arial" w:hAnsi="Arial" w:cs="Arial"/>
                <w:sz w:val="20"/>
                <w:szCs w:val="20"/>
              </w:rPr>
              <w:t>**</w:t>
            </w:r>
            <w:r w:rsidR="003A7324">
              <w:rPr>
                <w:rFonts w:ascii="Arial" w:hAnsi="Arial" w:cs="Arial"/>
                <w:sz w:val="20"/>
                <w:szCs w:val="20"/>
              </w:rPr>
              <w:t>;</w:t>
            </w:r>
          </w:p>
          <w:p w14:paraId="0862BAD6" w14:textId="46279E4F" w:rsidR="003A7324" w:rsidRPr="009236F6" w:rsidRDefault="003A7324" w:rsidP="009236F6">
            <w:pPr>
              <w:pStyle w:val="ListParagraph"/>
              <w:numPr>
                <w:ilvl w:val="0"/>
                <w:numId w:val="9"/>
              </w:numPr>
              <w:ind w:left="347"/>
              <w:jc w:val="both"/>
              <w:rPr>
                <w:rFonts w:ascii="Arial" w:hAnsi="Arial" w:cs="Arial"/>
                <w:sz w:val="20"/>
                <w:szCs w:val="20"/>
              </w:rPr>
            </w:pPr>
            <w:r>
              <w:rPr>
                <w:rFonts w:ascii="Arial" w:hAnsi="Arial" w:cs="Arial"/>
                <w:sz w:val="20"/>
                <w:szCs w:val="20"/>
              </w:rPr>
              <w:t>apliecinājums, ka ēkā tiek sniegts viesu izmitināšanas pakalpojums un saglabātas darba vietas</w:t>
            </w:r>
          </w:p>
        </w:tc>
      </w:tr>
      <w:tr w:rsidR="009236F6" w14:paraId="72C50B6B" w14:textId="77777777" w:rsidTr="00997985">
        <w:tc>
          <w:tcPr>
            <w:tcW w:w="562" w:type="dxa"/>
          </w:tcPr>
          <w:p w14:paraId="4EA9BE36" w14:textId="36BDD5BD"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17</w:t>
            </w:r>
          </w:p>
        </w:tc>
        <w:tc>
          <w:tcPr>
            <w:tcW w:w="3823" w:type="dxa"/>
          </w:tcPr>
          <w:p w14:paraId="5C534933" w14:textId="4718483F" w:rsidR="009236F6" w:rsidRPr="0026396D" w:rsidRDefault="009236F6" w:rsidP="009236F6">
            <w:pPr>
              <w:jc w:val="both"/>
              <w:rPr>
                <w:rFonts w:ascii="Arial" w:hAnsi="Arial" w:cs="Arial"/>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 xml:space="preserve">s </w:t>
            </w:r>
            <w:r w:rsidRPr="0026396D">
              <w:rPr>
                <w:rFonts w:ascii="Arial" w:hAnsi="Arial" w:cs="Arial"/>
                <w:color w:val="000000" w:themeColor="text1"/>
                <w:sz w:val="20"/>
                <w:szCs w:val="20"/>
              </w:rPr>
              <w:t xml:space="preserve">pēc ēkas nodošanas ekspluatācijā par jaunuzceltu ēku vai būves pārbūvi, kas paredzēta saimnieciskās darbības veikšanai, kuras rezultātā mainās būves vai tās daļas </w:t>
            </w:r>
            <w:r w:rsidRPr="0026396D">
              <w:rPr>
                <w:rFonts w:ascii="Arial" w:hAnsi="Arial" w:cs="Arial"/>
                <w:color w:val="000000" w:themeColor="text1"/>
                <w:sz w:val="20"/>
                <w:szCs w:val="20"/>
              </w:rPr>
              <w:lastRenderedPageBreak/>
              <w:t>apjoms vai pastiprināti nesošie elementi vai konstrukcijas, mainot vai nemainot lietošanas veidu, kas tiek izmantota saimnieciskās darbības veikšanai</w:t>
            </w:r>
            <w:r>
              <w:rPr>
                <w:rFonts w:ascii="Arial" w:hAnsi="Arial" w:cs="Arial"/>
                <w:color w:val="000000" w:themeColor="text1"/>
                <w:sz w:val="20"/>
                <w:szCs w:val="20"/>
              </w:rPr>
              <w:t>.</w:t>
            </w:r>
          </w:p>
        </w:tc>
        <w:tc>
          <w:tcPr>
            <w:tcW w:w="1280" w:type="dxa"/>
          </w:tcPr>
          <w:p w14:paraId="022C064B" w14:textId="3C00FA01" w:rsidR="009236F6" w:rsidRPr="00997985" w:rsidRDefault="009236F6" w:rsidP="009236F6">
            <w:pPr>
              <w:tabs>
                <w:tab w:val="left" w:pos="208"/>
              </w:tabs>
              <w:jc w:val="both"/>
              <w:rPr>
                <w:rFonts w:ascii="Arial" w:hAnsi="Arial" w:cs="Arial"/>
                <w:sz w:val="16"/>
                <w:szCs w:val="16"/>
              </w:rPr>
            </w:pPr>
            <w:r w:rsidRPr="00997985">
              <w:rPr>
                <w:rFonts w:ascii="Arial" w:hAnsi="Arial" w:cs="Arial"/>
                <w:color w:val="000000" w:themeColor="text1"/>
                <w:sz w:val="16"/>
                <w:szCs w:val="16"/>
              </w:rPr>
              <w:lastRenderedPageBreak/>
              <w:t>1.gadā – 90 %, 2.gadā – 50 % 3.gadā –</w:t>
            </w:r>
            <w:r>
              <w:rPr>
                <w:rFonts w:ascii="Arial" w:hAnsi="Arial" w:cs="Arial"/>
                <w:color w:val="000000" w:themeColor="text1"/>
                <w:sz w:val="16"/>
                <w:szCs w:val="16"/>
              </w:rPr>
              <w:t xml:space="preserve"> </w:t>
            </w:r>
            <w:r w:rsidRPr="00997985">
              <w:rPr>
                <w:rFonts w:ascii="Arial" w:hAnsi="Arial" w:cs="Arial"/>
                <w:color w:val="000000" w:themeColor="text1"/>
                <w:sz w:val="16"/>
                <w:szCs w:val="16"/>
              </w:rPr>
              <w:t>25 %</w:t>
            </w:r>
          </w:p>
        </w:tc>
        <w:tc>
          <w:tcPr>
            <w:tcW w:w="1678" w:type="dxa"/>
          </w:tcPr>
          <w:p w14:paraId="6DFA19C6" w14:textId="42F4AC0B" w:rsidR="009236F6" w:rsidRPr="0026396D" w:rsidRDefault="009236F6" w:rsidP="009236F6">
            <w:pPr>
              <w:jc w:val="both"/>
              <w:rPr>
                <w:rFonts w:ascii="Arial" w:hAnsi="Arial" w:cs="Arial"/>
                <w:sz w:val="20"/>
                <w:szCs w:val="20"/>
              </w:rPr>
            </w:pPr>
            <w:r>
              <w:rPr>
                <w:rFonts w:ascii="Arial" w:hAnsi="Arial" w:cs="Arial"/>
                <w:color w:val="000000" w:themeColor="text1"/>
                <w:sz w:val="20"/>
                <w:szCs w:val="20"/>
              </w:rPr>
              <w:t>ē</w:t>
            </w:r>
            <w:r w:rsidRPr="0026396D">
              <w:rPr>
                <w:rFonts w:ascii="Arial" w:hAnsi="Arial" w:cs="Arial"/>
                <w:color w:val="000000" w:themeColor="text1"/>
                <w:sz w:val="20"/>
                <w:szCs w:val="20"/>
              </w:rPr>
              <w:t>k</w:t>
            </w:r>
            <w:r>
              <w:rPr>
                <w:rFonts w:ascii="Arial" w:hAnsi="Arial" w:cs="Arial"/>
                <w:color w:val="000000" w:themeColor="text1"/>
                <w:sz w:val="20"/>
                <w:szCs w:val="20"/>
              </w:rPr>
              <w:t xml:space="preserve">a, kas </w:t>
            </w:r>
            <w:r w:rsidRPr="0026396D">
              <w:rPr>
                <w:rFonts w:ascii="Arial" w:hAnsi="Arial" w:cs="Arial"/>
                <w:color w:val="000000" w:themeColor="text1"/>
                <w:sz w:val="20"/>
                <w:szCs w:val="20"/>
              </w:rPr>
              <w:t xml:space="preserve"> paredzēta saimnieciskās darbības veikšanai</w:t>
            </w:r>
          </w:p>
        </w:tc>
        <w:tc>
          <w:tcPr>
            <w:tcW w:w="1911" w:type="dxa"/>
          </w:tcPr>
          <w:p w14:paraId="2EBBB96B" w14:textId="34996B04" w:rsidR="009236F6" w:rsidRPr="003A7324" w:rsidRDefault="009236F6" w:rsidP="003A7324">
            <w:pPr>
              <w:pStyle w:val="ListParagraph"/>
              <w:numPr>
                <w:ilvl w:val="0"/>
                <w:numId w:val="9"/>
              </w:numPr>
              <w:ind w:left="347"/>
              <w:jc w:val="both"/>
              <w:rPr>
                <w:rFonts w:ascii="Arial" w:hAnsi="Arial" w:cs="Arial"/>
                <w:sz w:val="20"/>
                <w:szCs w:val="20"/>
              </w:rPr>
            </w:pPr>
            <w:r w:rsidRPr="003A7324">
              <w:rPr>
                <w:rFonts w:ascii="Arial" w:hAnsi="Arial" w:cs="Arial"/>
                <w:sz w:val="20"/>
                <w:szCs w:val="20"/>
              </w:rPr>
              <w:t>iesniegums</w:t>
            </w:r>
          </w:p>
        </w:tc>
      </w:tr>
      <w:tr w:rsidR="009236F6" w14:paraId="5406543F" w14:textId="77777777" w:rsidTr="00997985">
        <w:tc>
          <w:tcPr>
            <w:tcW w:w="562" w:type="dxa"/>
          </w:tcPr>
          <w:p w14:paraId="62FDE155" w14:textId="1F5516EB"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18</w:t>
            </w:r>
          </w:p>
        </w:tc>
        <w:tc>
          <w:tcPr>
            <w:tcW w:w="3823" w:type="dxa"/>
          </w:tcPr>
          <w:p w14:paraId="4DD5D023" w14:textId="77777777" w:rsidR="009236F6"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atjaunotu ēku, kas tiek izmantota saimnieciskās darbības veikšanai</w:t>
            </w:r>
            <w:r>
              <w:rPr>
                <w:rFonts w:ascii="Arial" w:hAnsi="Arial" w:cs="Arial"/>
                <w:color w:val="000000" w:themeColor="text1"/>
                <w:sz w:val="20"/>
                <w:szCs w:val="20"/>
              </w:rPr>
              <w:t>:</w:t>
            </w:r>
          </w:p>
          <w:p w14:paraId="39A6C707" w14:textId="3A7B83F7" w:rsidR="009236F6" w:rsidRPr="00B371A4" w:rsidRDefault="009236F6" w:rsidP="009236F6">
            <w:pPr>
              <w:pStyle w:val="ListParagraph"/>
              <w:numPr>
                <w:ilvl w:val="0"/>
                <w:numId w:val="8"/>
              </w:numPr>
              <w:jc w:val="both"/>
              <w:rPr>
                <w:rFonts w:ascii="Arial" w:hAnsi="Arial" w:cs="Arial"/>
                <w:color w:val="000000" w:themeColor="text1"/>
                <w:sz w:val="20"/>
                <w:szCs w:val="20"/>
              </w:rPr>
            </w:pPr>
            <w:r w:rsidRPr="00B371A4">
              <w:rPr>
                <w:rFonts w:ascii="Arial" w:hAnsi="Arial" w:cs="Arial"/>
                <w:color w:val="000000" w:themeColor="text1"/>
                <w:sz w:val="20"/>
                <w:szCs w:val="20"/>
              </w:rPr>
              <w:t>ja tiek uzlabota ēkas energoefektivitāte</w:t>
            </w:r>
            <w:r>
              <w:rPr>
                <w:rFonts w:ascii="Arial" w:hAnsi="Arial" w:cs="Arial"/>
                <w:color w:val="000000" w:themeColor="text1"/>
                <w:sz w:val="20"/>
                <w:szCs w:val="20"/>
              </w:rPr>
              <w:t>;</w:t>
            </w:r>
          </w:p>
          <w:p w14:paraId="1C13ED62" w14:textId="38BF2DBB" w:rsidR="009236F6" w:rsidRPr="00B371A4" w:rsidRDefault="009236F6" w:rsidP="009236F6">
            <w:pPr>
              <w:pStyle w:val="ListParagraph"/>
              <w:numPr>
                <w:ilvl w:val="0"/>
                <w:numId w:val="8"/>
              </w:numPr>
              <w:jc w:val="both"/>
              <w:rPr>
                <w:rFonts w:ascii="Arial" w:hAnsi="Arial" w:cs="Arial"/>
                <w:sz w:val="20"/>
                <w:szCs w:val="20"/>
              </w:rPr>
            </w:pPr>
            <w:r w:rsidRPr="0026396D">
              <w:rPr>
                <w:rFonts w:ascii="Arial" w:hAnsi="Arial" w:cs="Arial"/>
                <w:color w:val="000000" w:themeColor="text1"/>
                <w:sz w:val="20"/>
                <w:szCs w:val="20"/>
              </w:rPr>
              <w:t>izņemot dzīvojamās mājas ar galveno lietošanas veidu ar kodu 1110, 1121 un 1122</w:t>
            </w:r>
            <w:r>
              <w:rPr>
                <w:rFonts w:ascii="Arial" w:hAnsi="Arial" w:cs="Arial"/>
                <w:color w:val="000000" w:themeColor="text1"/>
                <w:sz w:val="20"/>
                <w:szCs w:val="20"/>
              </w:rPr>
              <w:t>;</w:t>
            </w:r>
          </w:p>
          <w:p w14:paraId="0C540801" w14:textId="44AB41A0" w:rsidR="009236F6" w:rsidRPr="00B371A4" w:rsidRDefault="009236F6" w:rsidP="009236F6">
            <w:pPr>
              <w:pStyle w:val="ListParagraph"/>
              <w:numPr>
                <w:ilvl w:val="0"/>
                <w:numId w:val="8"/>
              </w:numPr>
              <w:jc w:val="both"/>
              <w:rPr>
                <w:rFonts w:ascii="Arial" w:hAnsi="Arial" w:cs="Arial"/>
                <w:sz w:val="20"/>
                <w:szCs w:val="20"/>
              </w:rPr>
            </w:pPr>
            <w:r w:rsidRPr="00B371A4">
              <w:rPr>
                <w:rFonts w:ascii="Arial" w:hAnsi="Arial" w:cs="Arial"/>
                <w:color w:val="000000" w:themeColor="text1"/>
                <w:sz w:val="20"/>
                <w:szCs w:val="20"/>
              </w:rPr>
              <w:t>vienu gadu pēc būvdarbu pabeigšanas</w:t>
            </w:r>
            <w:r>
              <w:rPr>
                <w:rFonts w:ascii="Arial" w:hAnsi="Arial" w:cs="Arial"/>
                <w:color w:val="000000" w:themeColor="text1"/>
                <w:sz w:val="20"/>
                <w:szCs w:val="20"/>
              </w:rPr>
              <w:t>.</w:t>
            </w:r>
          </w:p>
        </w:tc>
        <w:tc>
          <w:tcPr>
            <w:tcW w:w="1280" w:type="dxa"/>
          </w:tcPr>
          <w:p w14:paraId="0EC3B2DB" w14:textId="05D93671" w:rsidR="009236F6" w:rsidRPr="00997985" w:rsidRDefault="009236F6" w:rsidP="009236F6">
            <w:pPr>
              <w:jc w:val="both"/>
              <w:rPr>
                <w:rFonts w:ascii="Arial" w:hAnsi="Arial" w:cs="Arial"/>
                <w:sz w:val="20"/>
                <w:szCs w:val="20"/>
              </w:rPr>
            </w:pPr>
            <w:r w:rsidRPr="00997985">
              <w:rPr>
                <w:rFonts w:ascii="Arial" w:hAnsi="Arial" w:cs="Arial"/>
                <w:sz w:val="20"/>
                <w:szCs w:val="20"/>
              </w:rPr>
              <w:t>50%</w:t>
            </w:r>
          </w:p>
        </w:tc>
        <w:tc>
          <w:tcPr>
            <w:tcW w:w="1678" w:type="dxa"/>
          </w:tcPr>
          <w:p w14:paraId="04B140A5" w14:textId="40D6E498" w:rsidR="009236F6" w:rsidRPr="0026396D" w:rsidRDefault="009236F6" w:rsidP="009236F6">
            <w:pPr>
              <w:jc w:val="both"/>
              <w:rPr>
                <w:rFonts w:ascii="Arial" w:hAnsi="Arial" w:cs="Arial"/>
                <w:sz w:val="20"/>
                <w:szCs w:val="20"/>
              </w:rPr>
            </w:pPr>
            <w:r>
              <w:rPr>
                <w:rFonts w:ascii="Arial" w:hAnsi="Arial" w:cs="Arial"/>
                <w:color w:val="000000" w:themeColor="text1"/>
                <w:sz w:val="20"/>
                <w:szCs w:val="20"/>
              </w:rPr>
              <w:t>atjaunota ē</w:t>
            </w:r>
            <w:r w:rsidRPr="0026396D">
              <w:rPr>
                <w:rFonts w:ascii="Arial" w:hAnsi="Arial" w:cs="Arial"/>
                <w:color w:val="000000" w:themeColor="text1"/>
                <w:sz w:val="20"/>
                <w:szCs w:val="20"/>
              </w:rPr>
              <w:t>k</w:t>
            </w:r>
            <w:r>
              <w:rPr>
                <w:rFonts w:ascii="Arial" w:hAnsi="Arial" w:cs="Arial"/>
                <w:color w:val="000000" w:themeColor="text1"/>
                <w:sz w:val="20"/>
                <w:szCs w:val="20"/>
              </w:rPr>
              <w:t xml:space="preserve">a, kas </w:t>
            </w:r>
            <w:r w:rsidRPr="0026396D">
              <w:rPr>
                <w:rFonts w:ascii="Arial" w:hAnsi="Arial" w:cs="Arial"/>
                <w:color w:val="000000" w:themeColor="text1"/>
                <w:sz w:val="20"/>
                <w:szCs w:val="20"/>
              </w:rPr>
              <w:t xml:space="preserve"> paredzēta saimnieciskās darbības veikšanai</w:t>
            </w:r>
          </w:p>
        </w:tc>
        <w:tc>
          <w:tcPr>
            <w:tcW w:w="1911" w:type="dxa"/>
          </w:tcPr>
          <w:p w14:paraId="1F09BF8D" w14:textId="7CAB525D"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p>
        </w:tc>
      </w:tr>
      <w:tr w:rsidR="009236F6" w14:paraId="46E08D13" w14:textId="77777777" w:rsidTr="00997985">
        <w:tc>
          <w:tcPr>
            <w:tcW w:w="562" w:type="dxa"/>
          </w:tcPr>
          <w:p w14:paraId="47A905D3" w14:textId="715CF076"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19</w:t>
            </w:r>
          </w:p>
        </w:tc>
        <w:tc>
          <w:tcPr>
            <w:tcW w:w="3823" w:type="dxa"/>
          </w:tcPr>
          <w:p w14:paraId="11DACE6E" w14:textId="41769EAC" w:rsidR="009236F6" w:rsidRPr="0026396D" w:rsidRDefault="009236F6" w:rsidP="009236F6">
            <w:pPr>
              <w:jc w:val="both"/>
              <w:rPr>
                <w:rFonts w:ascii="Arial" w:hAnsi="Arial" w:cs="Arial"/>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nekustam</w:t>
            </w:r>
            <w:r>
              <w:rPr>
                <w:rFonts w:ascii="Arial" w:hAnsi="Arial" w:cs="Arial"/>
                <w:color w:val="000000" w:themeColor="text1"/>
                <w:sz w:val="20"/>
                <w:szCs w:val="20"/>
              </w:rPr>
              <w:t>o</w:t>
            </w:r>
            <w:r w:rsidRPr="0026396D">
              <w:rPr>
                <w:rFonts w:ascii="Arial" w:hAnsi="Arial" w:cs="Arial"/>
                <w:color w:val="000000" w:themeColor="text1"/>
                <w:sz w:val="20"/>
                <w:szCs w:val="20"/>
              </w:rPr>
              <w:t xml:space="preserve"> īpašum</w:t>
            </w:r>
            <w:r>
              <w:rPr>
                <w:rFonts w:ascii="Arial" w:hAnsi="Arial" w:cs="Arial"/>
                <w:color w:val="000000" w:themeColor="text1"/>
                <w:sz w:val="20"/>
                <w:szCs w:val="20"/>
              </w:rPr>
              <w:t>u, kurā</w:t>
            </w:r>
            <w:r w:rsidRPr="0026396D">
              <w:rPr>
                <w:rFonts w:ascii="Arial" w:hAnsi="Arial" w:cs="Arial"/>
                <w:color w:val="000000" w:themeColor="text1"/>
                <w:sz w:val="20"/>
                <w:szCs w:val="20"/>
              </w:rPr>
              <w:t xml:space="preserve"> tiek veikta regulāra filmu publiska demonstrēšana </w:t>
            </w:r>
          </w:p>
        </w:tc>
        <w:tc>
          <w:tcPr>
            <w:tcW w:w="1280" w:type="dxa"/>
          </w:tcPr>
          <w:p w14:paraId="122E07C3" w14:textId="1BCC2FB2" w:rsidR="009236F6" w:rsidRPr="00997985" w:rsidRDefault="009236F6" w:rsidP="009236F6">
            <w:pPr>
              <w:jc w:val="both"/>
              <w:rPr>
                <w:rFonts w:ascii="Arial" w:hAnsi="Arial" w:cs="Arial"/>
                <w:sz w:val="20"/>
                <w:szCs w:val="20"/>
              </w:rPr>
            </w:pPr>
            <w:r w:rsidRPr="00997985">
              <w:rPr>
                <w:rFonts w:ascii="Arial" w:hAnsi="Arial" w:cs="Arial"/>
                <w:sz w:val="20"/>
                <w:szCs w:val="20"/>
              </w:rPr>
              <w:t>90%</w:t>
            </w:r>
          </w:p>
        </w:tc>
        <w:tc>
          <w:tcPr>
            <w:tcW w:w="1678" w:type="dxa"/>
          </w:tcPr>
          <w:p w14:paraId="0AEC875B" w14:textId="1F6725F6" w:rsidR="009236F6" w:rsidRPr="0026396D" w:rsidRDefault="009236F6" w:rsidP="009236F6">
            <w:pPr>
              <w:jc w:val="both"/>
              <w:rPr>
                <w:rFonts w:ascii="Arial" w:hAnsi="Arial" w:cs="Arial"/>
                <w:sz w:val="20"/>
                <w:szCs w:val="20"/>
              </w:rPr>
            </w:pPr>
            <w:r>
              <w:rPr>
                <w:rFonts w:ascii="Arial" w:hAnsi="Arial" w:cs="Arial"/>
                <w:sz w:val="20"/>
                <w:szCs w:val="20"/>
              </w:rPr>
              <w:t>telpu grupas un tām piekritīgā zeme</w:t>
            </w:r>
          </w:p>
        </w:tc>
        <w:tc>
          <w:tcPr>
            <w:tcW w:w="1911" w:type="dxa"/>
          </w:tcPr>
          <w:p w14:paraId="2F11546C" w14:textId="46BAC826"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p>
        </w:tc>
      </w:tr>
      <w:tr w:rsidR="009236F6" w14:paraId="67BE7366" w14:textId="77777777" w:rsidTr="00997985">
        <w:tc>
          <w:tcPr>
            <w:tcW w:w="562" w:type="dxa"/>
          </w:tcPr>
          <w:p w14:paraId="5CFE671D" w14:textId="30E1D819"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20</w:t>
            </w:r>
          </w:p>
        </w:tc>
        <w:tc>
          <w:tcPr>
            <w:tcW w:w="3823" w:type="dxa"/>
          </w:tcPr>
          <w:p w14:paraId="7B13B2B1" w14:textId="722D8577"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ēk</w:t>
            </w:r>
            <w:r>
              <w:rPr>
                <w:rFonts w:ascii="Arial" w:hAnsi="Arial" w:cs="Arial"/>
                <w:color w:val="000000" w:themeColor="text1"/>
                <w:sz w:val="20"/>
                <w:szCs w:val="20"/>
              </w:rPr>
              <w:t>ām</w:t>
            </w:r>
            <w:r w:rsidRPr="0026396D">
              <w:rPr>
                <w:rFonts w:ascii="Arial" w:hAnsi="Arial" w:cs="Arial"/>
                <w:color w:val="000000" w:themeColor="text1"/>
                <w:sz w:val="20"/>
                <w:szCs w:val="20"/>
              </w:rPr>
              <w:t xml:space="preserve"> vai telpu grup</w:t>
            </w:r>
            <w:r>
              <w:rPr>
                <w:rFonts w:ascii="Arial" w:hAnsi="Arial" w:cs="Arial"/>
                <w:color w:val="000000" w:themeColor="text1"/>
                <w:sz w:val="20"/>
                <w:szCs w:val="20"/>
              </w:rPr>
              <w:t>ām, kas</w:t>
            </w:r>
            <w:r w:rsidRPr="0026396D">
              <w:rPr>
                <w:rFonts w:ascii="Arial" w:hAnsi="Arial" w:cs="Arial"/>
                <w:color w:val="000000" w:themeColor="text1"/>
                <w:sz w:val="20"/>
                <w:szCs w:val="20"/>
              </w:rPr>
              <w:t xml:space="preserve"> ir iekļautas vietējās, reģiona vai valsts nozīmes kultūrvēsturisko objektu sarakstā, </w:t>
            </w:r>
            <w:r>
              <w:rPr>
                <w:rFonts w:ascii="Arial" w:hAnsi="Arial" w:cs="Arial"/>
                <w:color w:val="000000" w:themeColor="text1"/>
                <w:sz w:val="20"/>
                <w:szCs w:val="20"/>
              </w:rPr>
              <w:t>kur</w:t>
            </w:r>
            <w:r w:rsidRPr="0026396D">
              <w:rPr>
                <w:rFonts w:ascii="Arial" w:hAnsi="Arial" w:cs="Arial"/>
                <w:color w:val="000000" w:themeColor="text1"/>
                <w:sz w:val="20"/>
                <w:szCs w:val="20"/>
              </w:rPr>
              <w:t xml:space="preserve"> komersants ir veicis to pārbūvi atbilstoši </w:t>
            </w:r>
            <w:hyperlink r:id="rId5" w:tgtFrame="_blank" w:history="1">
              <w:r w:rsidRPr="0026396D">
                <w:rPr>
                  <w:rStyle w:val="Hyperlink"/>
                  <w:rFonts w:ascii="Arial" w:hAnsi="Arial" w:cs="Arial"/>
                  <w:color w:val="000000" w:themeColor="text1"/>
                  <w:sz w:val="20"/>
                  <w:szCs w:val="20"/>
                </w:rPr>
                <w:t>Būvniecības likumam</w:t>
              </w:r>
            </w:hyperlink>
            <w:r w:rsidRPr="0026396D">
              <w:rPr>
                <w:rFonts w:ascii="Arial" w:hAnsi="Arial" w:cs="Arial"/>
                <w:color w:val="000000" w:themeColor="text1"/>
                <w:sz w:val="20"/>
                <w:szCs w:val="20"/>
              </w:rPr>
              <w:t xml:space="preserve">, un pārbūves rezultātā tiek saglabāts ēkas vēsturiskais veidols un arhitektoniskās vērtības, kā arī šajā nekustamajā īpašumā tiek veikta </w:t>
            </w:r>
            <w:proofErr w:type="spellStart"/>
            <w:r w:rsidRPr="0026396D">
              <w:rPr>
                <w:rFonts w:ascii="Arial" w:hAnsi="Arial" w:cs="Arial"/>
                <w:color w:val="000000" w:themeColor="text1"/>
                <w:sz w:val="20"/>
                <w:szCs w:val="20"/>
              </w:rPr>
              <w:t>multifunkcionāla</w:t>
            </w:r>
            <w:proofErr w:type="spellEnd"/>
            <w:r w:rsidRPr="0026396D">
              <w:rPr>
                <w:rFonts w:ascii="Arial" w:hAnsi="Arial" w:cs="Arial"/>
                <w:color w:val="000000" w:themeColor="text1"/>
                <w:sz w:val="20"/>
                <w:szCs w:val="20"/>
              </w:rPr>
              <w:t xml:space="preserve"> kultūras un mākslas centra darbība, veicināta kultūras pakalpojumu un profesionālās mākslas pieejamība</w:t>
            </w:r>
            <w:r>
              <w:rPr>
                <w:rFonts w:ascii="Arial" w:hAnsi="Arial" w:cs="Arial"/>
                <w:color w:val="000000" w:themeColor="text1"/>
                <w:sz w:val="20"/>
                <w:szCs w:val="20"/>
              </w:rPr>
              <w:t>.</w:t>
            </w:r>
          </w:p>
        </w:tc>
        <w:tc>
          <w:tcPr>
            <w:tcW w:w="1280" w:type="dxa"/>
          </w:tcPr>
          <w:p w14:paraId="3DBB2005" w14:textId="19085E37" w:rsidR="009236F6" w:rsidRPr="00997985" w:rsidRDefault="009236F6" w:rsidP="009236F6">
            <w:pPr>
              <w:jc w:val="both"/>
              <w:rPr>
                <w:rFonts w:ascii="Arial" w:hAnsi="Arial" w:cs="Arial"/>
                <w:sz w:val="20"/>
                <w:szCs w:val="20"/>
              </w:rPr>
            </w:pPr>
            <w:r w:rsidRPr="00997985">
              <w:rPr>
                <w:rFonts w:ascii="Arial" w:hAnsi="Arial" w:cs="Arial"/>
                <w:sz w:val="20"/>
                <w:szCs w:val="20"/>
              </w:rPr>
              <w:t>90%</w:t>
            </w:r>
          </w:p>
        </w:tc>
        <w:tc>
          <w:tcPr>
            <w:tcW w:w="1678" w:type="dxa"/>
          </w:tcPr>
          <w:p w14:paraId="4EC83310" w14:textId="1690EA53" w:rsidR="009236F6" w:rsidRPr="0026396D" w:rsidRDefault="009236F6" w:rsidP="009236F6">
            <w:pPr>
              <w:jc w:val="both"/>
              <w:rPr>
                <w:rFonts w:ascii="Arial" w:hAnsi="Arial" w:cs="Arial"/>
                <w:sz w:val="20"/>
                <w:szCs w:val="20"/>
              </w:rPr>
            </w:pPr>
            <w:r w:rsidRPr="0026396D">
              <w:rPr>
                <w:rFonts w:ascii="Arial" w:hAnsi="Arial" w:cs="Arial"/>
                <w:color w:val="000000" w:themeColor="text1"/>
                <w:sz w:val="20"/>
                <w:szCs w:val="20"/>
              </w:rPr>
              <w:t>ēk</w:t>
            </w:r>
            <w:r>
              <w:rPr>
                <w:rFonts w:ascii="Arial" w:hAnsi="Arial" w:cs="Arial"/>
                <w:color w:val="000000" w:themeColor="text1"/>
                <w:sz w:val="20"/>
                <w:szCs w:val="20"/>
              </w:rPr>
              <w:t>a</w:t>
            </w:r>
            <w:r w:rsidRPr="0026396D">
              <w:rPr>
                <w:rFonts w:ascii="Arial" w:hAnsi="Arial" w:cs="Arial"/>
                <w:color w:val="000000" w:themeColor="text1"/>
                <w:sz w:val="20"/>
                <w:szCs w:val="20"/>
              </w:rPr>
              <w:t>, telpu grup</w:t>
            </w:r>
            <w:r>
              <w:rPr>
                <w:rFonts w:ascii="Arial" w:hAnsi="Arial" w:cs="Arial"/>
                <w:color w:val="000000" w:themeColor="text1"/>
                <w:sz w:val="20"/>
                <w:szCs w:val="20"/>
              </w:rPr>
              <w:t>as</w:t>
            </w:r>
            <w:r w:rsidRPr="0026396D">
              <w:rPr>
                <w:rFonts w:ascii="Arial" w:hAnsi="Arial" w:cs="Arial"/>
                <w:color w:val="000000" w:themeColor="text1"/>
                <w:sz w:val="20"/>
                <w:szCs w:val="20"/>
              </w:rPr>
              <w:t xml:space="preserve"> un tām piekritīg</w:t>
            </w:r>
            <w:r>
              <w:rPr>
                <w:rFonts w:ascii="Arial" w:hAnsi="Arial" w:cs="Arial"/>
                <w:color w:val="000000" w:themeColor="text1"/>
                <w:sz w:val="20"/>
                <w:szCs w:val="20"/>
              </w:rPr>
              <w:t>ā</w:t>
            </w:r>
            <w:r w:rsidRPr="0026396D">
              <w:rPr>
                <w:rFonts w:ascii="Arial" w:hAnsi="Arial" w:cs="Arial"/>
                <w:color w:val="000000" w:themeColor="text1"/>
                <w:sz w:val="20"/>
                <w:szCs w:val="20"/>
              </w:rPr>
              <w:t xml:space="preserve"> zem</w:t>
            </w:r>
            <w:r>
              <w:rPr>
                <w:rFonts w:ascii="Arial" w:hAnsi="Arial" w:cs="Arial"/>
                <w:color w:val="000000" w:themeColor="text1"/>
                <w:sz w:val="20"/>
                <w:szCs w:val="20"/>
              </w:rPr>
              <w:t>e</w:t>
            </w:r>
          </w:p>
        </w:tc>
        <w:tc>
          <w:tcPr>
            <w:tcW w:w="1911" w:type="dxa"/>
          </w:tcPr>
          <w:p w14:paraId="715BBF15" w14:textId="069D3A64"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p>
        </w:tc>
      </w:tr>
      <w:tr w:rsidR="009236F6" w14:paraId="4D171510" w14:textId="77777777" w:rsidTr="00997985">
        <w:tc>
          <w:tcPr>
            <w:tcW w:w="562" w:type="dxa"/>
          </w:tcPr>
          <w:p w14:paraId="2FFA163C" w14:textId="798CF808"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21</w:t>
            </w:r>
          </w:p>
        </w:tc>
        <w:tc>
          <w:tcPr>
            <w:tcW w:w="3823" w:type="dxa"/>
          </w:tcPr>
          <w:p w14:paraId="4EAF781F" w14:textId="03A48405"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 </w:t>
            </w:r>
            <w:proofErr w:type="spellStart"/>
            <w:r w:rsidRPr="0026396D">
              <w:rPr>
                <w:rFonts w:ascii="Arial" w:hAnsi="Arial" w:cs="Arial"/>
                <w:color w:val="000000" w:themeColor="text1"/>
                <w:sz w:val="20"/>
                <w:szCs w:val="20"/>
              </w:rPr>
              <w:t>jaunizveidot</w:t>
            </w:r>
            <w:r>
              <w:rPr>
                <w:rFonts w:ascii="Arial" w:hAnsi="Arial" w:cs="Arial"/>
                <w:color w:val="000000" w:themeColor="text1"/>
                <w:sz w:val="20"/>
                <w:szCs w:val="20"/>
              </w:rPr>
              <w:t>s</w:t>
            </w:r>
            <w:proofErr w:type="spellEnd"/>
            <w:r w:rsidRPr="0026396D">
              <w:rPr>
                <w:rFonts w:ascii="Arial" w:hAnsi="Arial" w:cs="Arial"/>
                <w:color w:val="000000" w:themeColor="text1"/>
                <w:sz w:val="20"/>
                <w:szCs w:val="20"/>
              </w:rPr>
              <w:t xml:space="preserve"> komersant</w:t>
            </w:r>
            <w:r>
              <w:rPr>
                <w:rFonts w:ascii="Arial" w:hAnsi="Arial" w:cs="Arial"/>
                <w:color w:val="000000" w:themeColor="text1"/>
                <w:sz w:val="20"/>
                <w:szCs w:val="20"/>
              </w:rPr>
              <w:t>s</w:t>
            </w:r>
            <w:r w:rsidRPr="0026396D">
              <w:rPr>
                <w:rFonts w:ascii="Arial" w:hAnsi="Arial" w:cs="Arial"/>
                <w:color w:val="000000" w:themeColor="text1"/>
                <w:sz w:val="20"/>
                <w:szCs w:val="20"/>
              </w:rPr>
              <w:t>, saimnieciskās darbības veicēj</w:t>
            </w:r>
            <w:r>
              <w:rPr>
                <w:rFonts w:ascii="Arial" w:hAnsi="Arial" w:cs="Arial"/>
                <w:color w:val="000000" w:themeColor="text1"/>
                <w:sz w:val="20"/>
                <w:szCs w:val="20"/>
              </w:rPr>
              <w:t>s, ja:</w:t>
            </w:r>
          </w:p>
          <w:p w14:paraId="6BBC90A8" w14:textId="3D25734F" w:rsidR="009236F6" w:rsidRPr="0026396D" w:rsidRDefault="009236F6" w:rsidP="009236F6">
            <w:pPr>
              <w:pStyle w:val="tv213"/>
              <w:numPr>
                <w:ilvl w:val="0"/>
                <w:numId w:val="7"/>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komersants reģistrēts iepriekšējā taksācijas gadā;</w:t>
            </w:r>
          </w:p>
          <w:p w14:paraId="3C06755E" w14:textId="3D750CA2" w:rsidR="009236F6" w:rsidRPr="0026396D" w:rsidRDefault="009236F6" w:rsidP="009236F6">
            <w:pPr>
              <w:pStyle w:val="tv213"/>
              <w:numPr>
                <w:ilvl w:val="0"/>
                <w:numId w:val="7"/>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kopš komersanta reģistrēšanas Latvijas Republikas Uzņēmumu reģistrā radītas ne mazāk kā piecas jaunas darbavietas;</w:t>
            </w:r>
          </w:p>
          <w:p w14:paraId="5ED16632" w14:textId="1D132CA5" w:rsidR="009236F6" w:rsidRPr="0026396D" w:rsidRDefault="009236F6" w:rsidP="009236F6">
            <w:pPr>
              <w:pStyle w:val="tv213"/>
              <w:numPr>
                <w:ilvl w:val="0"/>
                <w:numId w:val="7"/>
              </w:numPr>
              <w:shd w:val="clear" w:color="auto" w:fill="FFFFFF"/>
              <w:spacing w:before="0" w:beforeAutospacing="0" w:after="0" w:afterAutospacing="0" w:line="293" w:lineRule="atLeast"/>
              <w:jc w:val="both"/>
              <w:rPr>
                <w:rFonts w:ascii="Arial" w:hAnsi="Arial" w:cs="Arial"/>
                <w:color w:val="000000" w:themeColor="text1"/>
                <w:sz w:val="20"/>
                <w:szCs w:val="20"/>
              </w:rPr>
            </w:pPr>
            <w:r w:rsidRPr="0026396D">
              <w:rPr>
                <w:rFonts w:ascii="Arial" w:hAnsi="Arial" w:cs="Arial"/>
                <w:color w:val="000000" w:themeColor="text1"/>
                <w:sz w:val="20"/>
                <w:szCs w:val="20"/>
              </w:rPr>
              <w:t>darbinieku ikmēneša vidējā darba samaksa nav mazāka par valstī noteikto minimālo algu.</w:t>
            </w:r>
          </w:p>
          <w:p w14:paraId="4A0CFA61" w14:textId="2A14607E" w:rsidR="009236F6" w:rsidRPr="0026396D" w:rsidRDefault="009236F6" w:rsidP="009236F6">
            <w:pPr>
              <w:jc w:val="both"/>
              <w:rPr>
                <w:rFonts w:ascii="Arial" w:hAnsi="Arial" w:cs="Arial"/>
                <w:color w:val="000000" w:themeColor="text1"/>
                <w:sz w:val="20"/>
                <w:szCs w:val="20"/>
              </w:rPr>
            </w:pPr>
          </w:p>
        </w:tc>
        <w:tc>
          <w:tcPr>
            <w:tcW w:w="1280" w:type="dxa"/>
          </w:tcPr>
          <w:p w14:paraId="6EEE3526" w14:textId="2967D8A2" w:rsidR="009236F6" w:rsidRPr="00997985" w:rsidRDefault="009236F6" w:rsidP="009236F6">
            <w:pPr>
              <w:jc w:val="both"/>
              <w:rPr>
                <w:rFonts w:ascii="Arial" w:hAnsi="Arial" w:cs="Arial"/>
                <w:sz w:val="20"/>
                <w:szCs w:val="20"/>
              </w:rPr>
            </w:pPr>
            <w:r w:rsidRPr="00997985">
              <w:rPr>
                <w:rFonts w:ascii="Arial" w:hAnsi="Arial" w:cs="Arial"/>
                <w:sz w:val="20"/>
                <w:szCs w:val="20"/>
              </w:rPr>
              <w:t>25%</w:t>
            </w:r>
          </w:p>
        </w:tc>
        <w:tc>
          <w:tcPr>
            <w:tcW w:w="1678" w:type="dxa"/>
          </w:tcPr>
          <w:p w14:paraId="4379F1CF" w14:textId="3B98D4E9" w:rsidR="009236F6" w:rsidRPr="0026396D" w:rsidRDefault="003A7324" w:rsidP="009236F6">
            <w:pPr>
              <w:jc w:val="both"/>
              <w:rPr>
                <w:rFonts w:ascii="Arial" w:hAnsi="Arial" w:cs="Arial"/>
                <w:sz w:val="20"/>
                <w:szCs w:val="20"/>
              </w:rPr>
            </w:pPr>
            <w:r>
              <w:rPr>
                <w:rFonts w:ascii="Arial" w:hAnsi="Arial" w:cs="Arial"/>
                <w:sz w:val="20"/>
                <w:szCs w:val="20"/>
              </w:rPr>
              <w:t>Ē</w:t>
            </w:r>
            <w:r w:rsidR="009236F6">
              <w:rPr>
                <w:rFonts w:ascii="Arial" w:hAnsi="Arial" w:cs="Arial"/>
                <w:sz w:val="20"/>
                <w:szCs w:val="20"/>
              </w:rPr>
              <w:t>ka</w:t>
            </w:r>
          </w:p>
        </w:tc>
        <w:tc>
          <w:tcPr>
            <w:tcW w:w="1911" w:type="dxa"/>
          </w:tcPr>
          <w:p w14:paraId="66949916" w14:textId="3D6B5812" w:rsidR="009236F6"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r w:rsidR="003A7324">
              <w:rPr>
                <w:rFonts w:ascii="Arial" w:hAnsi="Arial" w:cs="Arial"/>
                <w:sz w:val="20"/>
                <w:szCs w:val="20"/>
              </w:rPr>
              <w:t>;</w:t>
            </w:r>
          </w:p>
          <w:p w14:paraId="01880B60" w14:textId="5F704F7B" w:rsidR="003A7324" w:rsidRDefault="003A7324" w:rsidP="003A7324">
            <w:pPr>
              <w:pStyle w:val="ListParagraph"/>
              <w:numPr>
                <w:ilvl w:val="0"/>
                <w:numId w:val="8"/>
              </w:numPr>
              <w:ind w:left="347"/>
              <w:jc w:val="both"/>
              <w:rPr>
                <w:rFonts w:ascii="Arial" w:hAnsi="Arial" w:cs="Arial"/>
                <w:sz w:val="20"/>
                <w:szCs w:val="20"/>
              </w:rPr>
            </w:pPr>
            <w:r>
              <w:rPr>
                <w:rFonts w:ascii="Arial" w:hAnsi="Arial" w:cs="Arial"/>
                <w:sz w:val="20"/>
                <w:szCs w:val="20"/>
              </w:rPr>
              <w:t>VID izziņa par komersanta vidējo nodarbināto skaitu;</w:t>
            </w:r>
          </w:p>
          <w:p w14:paraId="383E678B" w14:textId="64AC357B" w:rsidR="003A7324" w:rsidRPr="003A7324" w:rsidRDefault="003A7324" w:rsidP="003A7324">
            <w:pPr>
              <w:pStyle w:val="ListParagraph"/>
              <w:numPr>
                <w:ilvl w:val="0"/>
                <w:numId w:val="8"/>
              </w:numPr>
              <w:ind w:left="347"/>
              <w:jc w:val="both"/>
              <w:rPr>
                <w:rFonts w:ascii="Arial" w:hAnsi="Arial" w:cs="Arial"/>
                <w:sz w:val="20"/>
                <w:szCs w:val="20"/>
              </w:rPr>
            </w:pPr>
            <w:r>
              <w:rPr>
                <w:rFonts w:ascii="Arial" w:hAnsi="Arial" w:cs="Arial"/>
                <w:sz w:val="20"/>
                <w:szCs w:val="20"/>
              </w:rPr>
              <w:t>uzņēmuma vadītāja vai īpašnieka parakstīta izziņa par nodarbināto vidējo darba samaksu</w:t>
            </w:r>
          </w:p>
        </w:tc>
      </w:tr>
      <w:tr w:rsidR="009236F6" w14:paraId="2E2FCA00" w14:textId="77777777" w:rsidTr="00997985">
        <w:tc>
          <w:tcPr>
            <w:tcW w:w="562" w:type="dxa"/>
          </w:tcPr>
          <w:p w14:paraId="63C08C1D" w14:textId="1300009D"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22</w:t>
            </w:r>
          </w:p>
        </w:tc>
        <w:tc>
          <w:tcPr>
            <w:tcW w:w="3823" w:type="dxa"/>
          </w:tcPr>
          <w:p w14:paraId="58A224E3" w14:textId="5F8101CC"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(nomniek</w:t>
            </w:r>
            <w:r>
              <w:rPr>
                <w:rFonts w:ascii="Arial" w:hAnsi="Arial" w:cs="Arial"/>
                <w:color w:val="000000" w:themeColor="text1"/>
                <w:sz w:val="20"/>
                <w:szCs w:val="20"/>
              </w:rPr>
              <w:t>s</w:t>
            </w:r>
            <w:r w:rsidRPr="0026396D">
              <w:rPr>
                <w:rFonts w:ascii="Arial" w:hAnsi="Arial" w:cs="Arial"/>
                <w:color w:val="000000" w:themeColor="text1"/>
                <w:sz w:val="20"/>
                <w:szCs w:val="20"/>
              </w:rPr>
              <w:t>) par Pašvaldībai piederošu nekustamo īpašumu, kas tiek izmantots organizācijas (biedrības vai nodibinājuma), kam piešķirts sabiedriskā labuma organizācijas statuss, darbības nodrošināšanai</w:t>
            </w:r>
            <w:r>
              <w:rPr>
                <w:rFonts w:ascii="Arial" w:hAnsi="Arial" w:cs="Arial"/>
                <w:color w:val="000000" w:themeColor="text1"/>
                <w:sz w:val="20"/>
                <w:szCs w:val="20"/>
              </w:rPr>
              <w:t>.</w:t>
            </w:r>
          </w:p>
        </w:tc>
        <w:tc>
          <w:tcPr>
            <w:tcW w:w="1280" w:type="dxa"/>
          </w:tcPr>
          <w:p w14:paraId="5F6DFF31" w14:textId="5898676A" w:rsidR="009236F6" w:rsidRPr="00997985" w:rsidRDefault="009236F6" w:rsidP="009236F6">
            <w:pPr>
              <w:jc w:val="both"/>
              <w:rPr>
                <w:rFonts w:ascii="Arial" w:hAnsi="Arial" w:cs="Arial"/>
                <w:sz w:val="20"/>
                <w:szCs w:val="20"/>
              </w:rPr>
            </w:pPr>
            <w:r w:rsidRPr="00997985">
              <w:rPr>
                <w:rFonts w:ascii="Arial" w:hAnsi="Arial" w:cs="Arial"/>
                <w:sz w:val="20"/>
                <w:szCs w:val="20"/>
              </w:rPr>
              <w:t>90%</w:t>
            </w:r>
          </w:p>
        </w:tc>
        <w:tc>
          <w:tcPr>
            <w:tcW w:w="1678" w:type="dxa"/>
          </w:tcPr>
          <w:p w14:paraId="19E3D5C4" w14:textId="0EC2BAB2" w:rsidR="009236F6" w:rsidRPr="0026396D" w:rsidRDefault="009236F6" w:rsidP="009236F6">
            <w:pPr>
              <w:jc w:val="both"/>
              <w:rPr>
                <w:rFonts w:ascii="Arial" w:hAnsi="Arial" w:cs="Arial"/>
                <w:sz w:val="20"/>
                <w:szCs w:val="20"/>
              </w:rPr>
            </w:pPr>
            <w:r>
              <w:rPr>
                <w:rFonts w:ascii="Arial" w:hAnsi="Arial" w:cs="Arial"/>
                <w:sz w:val="20"/>
                <w:szCs w:val="20"/>
              </w:rPr>
              <w:t>zeme, ēkas</w:t>
            </w:r>
          </w:p>
        </w:tc>
        <w:tc>
          <w:tcPr>
            <w:tcW w:w="1911" w:type="dxa"/>
          </w:tcPr>
          <w:p w14:paraId="548C874F" w14:textId="2127B143"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p>
        </w:tc>
      </w:tr>
      <w:tr w:rsidR="003A7324" w14:paraId="06BC9DB5" w14:textId="77777777" w:rsidTr="00997985">
        <w:tc>
          <w:tcPr>
            <w:tcW w:w="562" w:type="dxa"/>
          </w:tcPr>
          <w:p w14:paraId="6F7D9A6F" w14:textId="429DA87F" w:rsidR="003A7324" w:rsidRPr="0026396D" w:rsidRDefault="003A7324" w:rsidP="003A7324">
            <w:pPr>
              <w:jc w:val="both"/>
              <w:rPr>
                <w:rFonts w:ascii="Arial" w:hAnsi="Arial" w:cs="Arial"/>
                <w:color w:val="000000" w:themeColor="text1"/>
                <w:sz w:val="20"/>
                <w:szCs w:val="20"/>
              </w:rPr>
            </w:pPr>
            <w:r w:rsidRPr="0026396D">
              <w:rPr>
                <w:rFonts w:ascii="Arial" w:hAnsi="Arial" w:cs="Arial"/>
                <w:color w:val="000000" w:themeColor="text1"/>
                <w:sz w:val="20"/>
                <w:szCs w:val="20"/>
              </w:rPr>
              <w:t>23</w:t>
            </w:r>
          </w:p>
        </w:tc>
        <w:tc>
          <w:tcPr>
            <w:tcW w:w="3823" w:type="dxa"/>
          </w:tcPr>
          <w:p w14:paraId="459B8AA2" w14:textId="4AD92C11" w:rsidR="003A7324" w:rsidRPr="0026396D" w:rsidRDefault="003A7324" w:rsidP="003A7324">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būvniecības stadijā esošu daudzdzīvokļu dzīvojamo māju (ēkas galvenais lietošanas veids, kods 1122) un rūpnieciskās ražošanas ēku (ēkas galvenais lietošanas veids ar kodu 1251), kura reģistrēta kadastra reģistrā kā jaunbūve, līdz objekta nodošanai ekspluatācijā</w:t>
            </w:r>
            <w:r>
              <w:rPr>
                <w:rFonts w:ascii="Arial" w:hAnsi="Arial" w:cs="Arial"/>
                <w:color w:val="000000" w:themeColor="text1"/>
                <w:sz w:val="20"/>
                <w:szCs w:val="20"/>
              </w:rPr>
              <w:t xml:space="preserve">, bet </w:t>
            </w:r>
            <w:r w:rsidRPr="0026396D">
              <w:rPr>
                <w:rFonts w:ascii="Arial" w:hAnsi="Arial" w:cs="Arial"/>
                <w:color w:val="000000" w:themeColor="text1"/>
                <w:sz w:val="20"/>
                <w:szCs w:val="20"/>
              </w:rPr>
              <w:t>ne ilgāk kā divus gadus no atvieglojuma saņemšanas</w:t>
            </w:r>
            <w:r>
              <w:rPr>
                <w:rFonts w:ascii="Arial" w:hAnsi="Arial" w:cs="Arial"/>
                <w:color w:val="000000" w:themeColor="text1"/>
                <w:sz w:val="20"/>
                <w:szCs w:val="20"/>
              </w:rPr>
              <w:t>.</w:t>
            </w:r>
          </w:p>
        </w:tc>
        <w:tc>
          <w:tcPr>
            <w:tcW w:w="1280" w:type="dxa"/>
          </w:tcPr>
          <w:p w14:paraId="7B222FCE" w14:textId="289D613E" w:rsidR="003A7324" w:rsidRPr="00997985" w:rsidRDefault="003A7324" w:rsidP="003A7324">
            <w:pPr>
              <w:jc w:val="both"/>
              <w:rPr>
                <w:rFonts w:ascii="Arial" w:hAnsi="Arial" w:cs="Arial"/>
                <w:sz w:val="20"/>
                <w:szCs w:val="20"/>
              </w:rPr>
            </w:pPr>
            <w:r w:rsidRPr="00997985">
              <w:rPr>
                <w:rFonts w:ascii="Arial" w:hAnsi="Arial" w:cs="Arial"/>
                <w:sz w:val="20"/>
                <w:szCs w:val="20"/>
              </w:rPr>
              <w:t>90%</w:t>
            </w:r>
          </w:p>
        </w:tc>
        <w:tc>
          <w:tcPr>
            <w:tcW w:w="1678" w:type="dxa"/>
          </w:tcPr>
          <w:p w14:paraId="3443E3F0" w14:textId="12248CCD" w:rsidR="003A7324" w:rsidRDefault="003A7324" w:rsidP="003A7324">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26396D">
              <w:rPr>
                <w:rFonts w:ascii="Arial" w:hAnsi="Arial" w:cs="Arial"/>
                <w:color w:val="000000" w:themeColor="text1"/>
                <w:sz w:val="20"/>
                <w:szCs w:val="20"/>
              </w:rPr>
              <w:t xml:space="preserve">ēka </w:t>
            </w:r>
            <w:r>
              <w:rPr>
                <w:rFonts w:ascii="Arial" w:hAnsi="Arial" w:cs="Arial"/>
                <w:color w:val="000000" w:themeColor="text1"/>
                <w:sz w:val="20"/>
                <w:szCs w:val="20"/>
              </w:rPr>
              <w:t xml:space="preserve">ar </w:t>
            </w:r>
            <w:r w:rsidRPr="0026396D">
              <w:rPr>
                <w:rFonts w:ascii="Arial" w:hAnsi="Arial" w:cs="Arial"/>
                <w:color w:val="000000" w:themeColor="text1"/>
                <w:sz w:val="20"/>
                <w:szCs w:val="20"/>
              </w:rPr>
              <w:t>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u –</w:t>
            </w:r>
            <w:r w:rsidRPr="0026396D">
              <w:rPr>
                <w:rFonts w:ascii="Arial" w:hAnsi="Arial" w:cs="Arial"/>
                <w:color w:val="000000" w:themeColor="text1"/>
                <w:sz w:val="20"/>
                <w:szCs w:val="20"/>
              </w:rPr>
              <w:t xml:space="preserve"> kods</w:t>
            </w:r>
            <w:r>
              <w:rPr>
                <w:rFonts w:ascii="Arial" w:hAnsi="Arial" w:cs="Arial"/>
                <w:color w:val="000000" w:themeColor="text1"/>
                <w:sz w:val="20"/>
                <w:szCs w:val="20"/>
              </w:rPr>
              <w:t xml:space="preserve"> </w:t>
            </w:r>
            <w:r w:rsidRPr="0026396D">
              <w:rPr>
                <w:rFonts w:ascii="Arial" w:hAnsi="Arial" w:cs="Arial"/>
                <w:color w:val="000000" w:themeColor="text1"/>
                <w:sz w:val="20"/>
                <w:szCs w:val="20"/>
              </w:rPr>
              <w:t>1122</w:t>
            </w:r>
          </w:p>
          <w:p w14:paraId="6990F28F" w14:textId="62A90E62" w:rsidR="003A7324" w:rsidRPr="0026396D" w:rsidRDefault="003A7324" w:rsidP="003A7324">
            <w:pPr>
              <w:jc w:val="both"/>
              <w:rPr>
                <w:rFonts w:ascii="Arial" w:hAnsi="Arial" w:cs="Arial"/>
                <w:sz w:val="20"/>
                <w:szCs w:val="20"/>
              </w:rPr>
            </w:pPr>
            <w:r>
              <w:rPr>
                <w:rFonts w:ascii="Arial" w:hAnsi="Arial" w:cs="Arial"/>
                <w:color w:val="000000" w:themeColor="text1"/>
                <w:sz w:val="20"/>
                <w:szCs w:val="20"/>
              </w:rPr>
              <w:t xml:space="preserve">- </w:t>
            </w:r>
            <w:r w:rsidRPr="0026396D">
              <w:rPr>
                <w:rFonts w:ascii="Arial" w:hAnsi="Arial" w:cs="Arial"/>
                <w:color w:val="000000" w:themeColor="text1"/>
                <w:sz w:val="20"/>
                <w:szCs w:val="20"/>
              </w:rPr>
              <w:t>ēka</w:t>
            </w:r>
            <w:r>
              <w:rPr>
                <w:rFonts w:ascii="Arial" w:hAnsi="Arial" w:cs="Arial"/>
                <w:color w:val="000000" w:themeColor="text1"/>
                <w:sz w:val="20"/>
                <w:szCs w:val="20"/>
              </w:rPr>
              <w:t xml:space="preserve"> ar</w:t>
            </w:r>
            <w:r w:rsidRPr="0026396D">
              <w:rPr>
                <w:rFonts w:ascii="Arial" w:hAnsi="Arial" w:cs="Arial"/>
                <w:color w:val="000000" w:themeColor="text1"/>
                <w:sz w:val="20"/>
                <w:szCs w:val="20"/>
              </w:rPr>
              <w:t xml:space="preserve"> 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u</w:t>
            </w:r>
            <w:r w:rsidRPr="0026396D">
              <w:rPr>
                <w:rFonts w:ascii="Arial" w:hAnsi="Arial" w:cs="Arial"/>
                <w:color w:val="000000" w:themeColor="text1"/>
                <w:sz w:val="20"/>
                <w:szCs w:val="20"/>
              </w:rPr>
              <w:t xml:space="preserve"> </w:t>
            </w:r>
            <w:r>
              <w:rPr>
                <w:rFonts w:ascii="Arial" w:hAnsi="Arial" w:cs="Arial"/>
                <w:color w:val="000000" w:themeColor="text1"/>
                <w:sz w:val="20"/>
                <w:szCs w:val="20"/>
              </w:rPr>
              <w:t>–</w:t>
            </w:r>
            <w:r w:rsidRPr="0026396D">
              <w:rPr>
                <w:rFonts w:ascii="Arial" w:hAnsi="Arial" w:cs="Arial"/>
                <w:color w:val="000000" w:themeColor="text1"/>
                <w:sz w:val="20"/>
                <w:szCs w:val="20"/>
              </w:rPr>
              <w:t xml:space="preserve"> kod</w:t>
            </w:r>
            <w:r>
              <w:rPr>
                <w:rFonts w:ascii="Arial" w:hAnsi="Arial" w:cs="Arial"/>
                <w:color w:val="000000" w:themeColor="text1"/>
                <w:sz w:val="20"/>
                <w:szCs w:val="20"/>
              </w:rPr>
              <w:t xml:space="preserve">s </w:t>
            </w:r>
            <w:r w:rsidRPr="0026396D">
              <w:rPr>
                <w:rFonts w:ascii="Arial" w:hAnsi="Arial" w:cs="Arial"/>
                <w:color w:val="000000" w:themeColor="text1"/>
                <w:sz w:val="20"/>
                <w:szCs w:val="20"/>
              </w:rPr>
              <w:t>1251</w:t>
            </w:r>
          </w:p>
        </w:tc>
        <w:tc>
          <w:tcPr>
            <w:tcW w:w="1911" w:type="dxa"/>
          </w:tcPr>
          <w:p w14:paraId="78B65A8C" w14:textId="5383B8CA" w:rsidR="003A7324" w:rsidRPr="003A7324" w:rsidRDefault="003A7324"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p>
        </w:tc>
      </w:tr>
      <w:tr w:rsidR="009236F6" w14:paraId="75B8CCA2" w14:textId="77777777" w:rsidTr="00997985">
        <w:tc>
          <w:tcPr>
            <w:tcW w:w="562" w:type="dxa"/>
          </w:tcPr>
          <w:p w14:paraId="056ECEB9" w14:textId="3A1DFA18"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24</w:t>
            </w:r>
          </w:p>
        </w:tc>
        <w:tc>
          <w:tcPr>
            <w:tcW w:w="3823" w:type="dxa"/>
          </w:tcPr>
          <w:p w14:paraId="140405C5" w14:textId="087C6B4F"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būvniecības stadijā esošu daudzdzīvokļu dzīvojamo māju (ēkas galvenais lietošanas veids ar kodu 1122) un rūpnieciskās ražošanas ēku (ēkas galvenais lietošanas veids ar kodu 1251), kurai tiek veikta pārbūve un tās laikā objekts nav izmantojams, līdz objekta nodošanai ekspluatācijā, bet ne ilgāk kā divus gadus no atvieglojuma saņemšanas</w:t>
            </w:r>
            <w:r>
              <w:rPr>
                <w:rFonts w:ascii="Arial" w:hAnsi="Arial" w:cs="Arial"/>
                <w:color w:val="000000" w:themeColor="text1"/>
                <w:sz w:val="20"/>
                <w:szCs w:val="20"/>
              </w:rPr>
              <w:t>.</w:t>
            </w:r>
          </w:p>
        </w:tc>
        <w:tc>
          <w:tcPr>
            <w:tcW w:w="1280" w:type="dxa"/>
          </w:tcPr>
          <w:p w14:paraId="795E1E58" w14:textId="726CC8F8" w:rsidR="009236F6" w:rsidRPr="00997985" w:rsidRDefault="009236F6" w:rsidP="009236F6">
            <w:pPr>
              <w:jc w:val="both"/>
              <w:rPr>
                <w:rFonts w:ascii="Arial" w:hAnsi="Arial" w:cs="Arial"/>
                <w:sz w:val="20"/>
                <w:szCs w:val="20"/>
              </w:rPr>
            </w:pPr>
            <w:r w:rsidRPr="00997985">
              <w:rPr>
                <w:rFonts w:ascii="Arial" w:hAnsi="Arial" w:cs="Arial"/>
                <w:sz w:val="20"/>
                <w:szCs w:val="20"/>
              </w:rPr>
              <w:t>70%</w:t>
            </w:r>
          </w:p>
        </w:tc>
        <w:tc>
          <w:tcPr>
            <w:tcW w:w="1678" w:type="dxa"/>
          </w:tcPr>
          <w:p w14:paraId="21E005E0" w14:textId="1F3A409C" w:rsidR="009236F6" w:rsidRDefault="009236F6" w:rsidP="009236F6">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26396D">
              <w:rPr>
                <w:rFonts w:ascii="Arial" w:hAnsi="Arial" w:cs="Arial"/>
                <w:color w:val="000000" w:themeColor="text1"/>
                <w:sz w:val="20"/>
                <w:szCs w:val="20"/>
              </w:rPr>
              <w:t xml:space="preserve">ēka </w:t>
            </w:r>
            <w:r>
              <w:rPr>
                <w:rFonts w:ascii="Arial" w:hAnsi="Arial" w:cs="Arial"/>
                <w:color w:val="000000" w:themeColor="text1"/>
                <w:sz w:val="20"/>
                <w:szCs w:val="20"/>
              </w:rPr>
              <w:t xml:space="preserve">ar </w:t>
            </w:r>
            <w:r w:rsidRPr="0026396D">
              <w:rPr>
                <w:rFonts w:ascii="Arial" w:hAnsi="Arial" w:cs="Arial"/>
                <w:color w:val="000000" w:themeColor="text1"/>
                <w:sz w:val="20"/>
                <w:szCs w:val="20"/>
              </w:rPr>
              <w:t>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u –</w:t>
            </w:r>
            <w:r w:rsidRPr="0026396D">
              <w:rPr>
                <w:rFonts w:ascii="Arial" w:hAnsi="Arial" w:cs="Arial"/>
                <w:color w:val="000000" w:themeColor="text1"/>
                <w:sz w:val="20"/>
                <w:szCs w:val="20"/>
              </w:rPr>
              <w:t xml:space="preserve"> kods</w:t>
            </w:r>
            <w:r>
              <w:rPr>
                <w:rFonts w:ascii="Arial" w:hAnsi="Arial" w:cs="Arial"/>
                <w:color w:val="000000" w:themeColor="text1"/>
                <w:sz w:val="20"/>
                <w:szCs w:val="20"/>
              </w:rPr>
              <w:t xml:space="preserve"> </w:t>
            </w:r>
            <w:r w:rsidRPr="0026396D">
              <w:rPr>
                <w:rFonts w:ascii="Arial" w:hAnsi="Arial" w:cs="Arial"/>
                <w:color w:val="000000" w:themeColor="text1"/>
                <w:sz w:val="20"/>
                <w:szCs w:val="20"/>
              </w:rPr>
              <w:t>1122</w:t>
            </w:r>
          </w:p>
          <w:p w14:paraId="2ABF169F" w14:textId="2A4E1FBE" w:rsidR="009236F6" w:rsidRPr="0026396D" w:rsidRDefault="009236F6" w:rsidP="009236F6">
            <w:pPr>
              <w:jc w:val="both"/>
              <w:rPr>
                <w:rFonts w:ascii="Arial" w:hAnsi="Arial" w:cs="Arial"/>
                <w:sz w:val="20"/>
                <w:szCs w:val="20"/>
              </w:rPr>
            </w:pPr>
            <w:r>
              <w:rPr>
                <w:rFonts w:ascii="Arial" w:hAnsi="Arial" w:cs="Arial"/>
                <w:color w:val="000000" w:themeColor="text1"/>
                <w:sz w:val="20"/>
                <w:szCs w:val="20"/>
              </w:rPr>
              <w:t xml:space="preserve">- </w:t>
            </w:r>
            <w:r w:rsidRPr="0026396D">
              <w:rPr>
                <w:rFonts w:ascii="Arial" w:hAnsi="Arial" w:cs="Arial"/>
                <w:color w:val="000000" w:themeColor="text1"/>
                <w:sz w:val="20"/>
                <w:szCs w:val="20"/>
              </w:rPr>
              <w:t>ēka</w:t>
            </w:r>
            <w:r>
              <w:rPr>
                <w:rFonts w:ascii="Arial" w:hAnsi="Arial" w:cs="Arial"/>
                <w:color w:val="000000" w:themeColor="text1"/>
                <w:sz w:val="20"/>
                <w:szCs w:val="20"/>
              </w:rPr>
              <w:t xml:space="preserve"> ar</w:t>
            </w:r>
            <w:r w:rsidRPr="0026396D">
              <w:rPr>
                <w:rFonts w:ascii="Arial" w:hAnsi="Arial" w:cs="Arial"/>
                <w:color w:val="000000" w:themeColor="text1"/>
                <w:sz w:val="20"/>
                <w:szCs w:val="20"/>
              </w:rPr>
              <w:t xml:space="preserve"> 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u</w:t>
            </w:r>
            <w:r w:rsidRPr="0026396D">
              <w:rPr>
                <w:rFonts w:ascii="Arial" w:hAnsi="Arial" w:cs="Arial"/>
                <w:color w:val="000000" w:themeColor="text1"/>
                <w:sz w:val="20"/>
                <w:szCs w:val="20"/>
              </w:rPr>
              <w:t xml:space="preserve"> </w:t>
            </w:r>
            <w:r>
              <w:rPr>
                <w:rFonts w:ascii="Arial" w:hAnsi="Arial" w:cs="Arial"/>
                <w:color w:val="000000" w:themeColor="text1"/>
                <w:sz w:val="20"/>
                <w:szCs w:val="20"/>
              </w:rPr>
              <w:t>–</w:t>
            </w:r>
            <w:r w:rsidRPr="0026396D">
              <w:rPr>
                <w:rFonts w:ascii="Arial" w:hAnsi="Arial" w:cs="Arial"/>
                <w:color w:val="000000" w:themeColor="text1"/>
                <w:sz w:val="20"/>
                <w:szCs w:val="20"/>
              </w:rPr>
              <w:t xml:space="preserve"> kod</w:t>
            </w:r>
            <w:r>
              <w:rPr>
                <w:rFonts w:ascii="Arial" w:hAnsi="Arial" w:cs="Arial"/>
                <w:color w:val="000000" w:themeColor="text1"/>
                <w:sz w:val="20"/>
                <w:szCs w:val="20"/>
              </w:rPr>
              <w:t xml:space="preserve">s </w:t>
            </w:r>
            <w:r w:rsidRPr="0026396D">
              <w:rPr>
                <w:rFonts w:ascii="Arial" w:hAnsi="Arial" w:cs="Arial"/>
                <w:color w:val="000000" w:themeColor="text1"/>
                <w:sz w:val="20"/>
                <w:szCs w:val="20"/>
              </w:rPr>
              <w:t>1251</w:t>
            </w:r>
          </w:p>
        </w:tc>
        <w:tc>
          <w:tcPr>
            <w:tcW w:w="1911" w:type="dxa"/>
          </w:tcPr>
          <w:p w14:paraId="7FD3A6F4" w14:textId="7F54F2B9"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p>
        </w:tc>
      </w:tr>
      <w:tr w:rsidR="009236F6" w14:paraId="5621F709" w14:textId="77777777" w:rsidTr="00997985">
        <w:tc>
          <w:tcPr>
            <w:tcW w:w="562" w:type="dxa"/>
          </w:tcPr>
          <w:p w14:paraId="3F8C075F" w14:textId="285CC80E"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25</w:t>
            </w:r>
          </w:p>
        </w:tc>
        <w:tc>
          <w:tcPr>
            <w:tcW w:w="3823" w:type="dxa"/>
          </w:tcPr>
          <w:p w14:paraId="3E67D1B0" w14:textId="282D7517"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Pašvaldības kapitālsabiedrīb</w:t>
            </w:r>
            <w:r>
              <w:rPr>
                <w:rFonts w:ascii="Arial" w:hAnsi="Arial" w:cs="Arial"/>
                <w:color w:val="000000" w:themeColor="text1"/>
                <w:sz w:val="20"/>
                <w:szCs w:val="20"/>
              </w:rPr>
              <w:t>as</w:t>
            </w:r>
            <w:r w:rsidRPr="0026396D">
              <w:rPr>
                <w:rFonts w:ascii="Arial" w:hAnsi="Arial" w:cs="Arial"/>
                <w:color w:val="000000" w:themeColor="text1"/>
                <w:sz w:val="20"/>
                <w:szCs w:val="20"/>
              </w:rPr>
              <w:t> par īpašumā vai tiesiskajā valdījumā esošajiem likuma "</w:t>
            </w:r>
            <w:hyperlink r:id="rId6" w:tgtFrame="_blank" w:history="1">
              <w:r w:rsidRPr="0026396D">
                <w:rPr>
                  <w:rStyle w:val="Hyperlink"/>
                  <w:rFonts w:ascii="Arial" w:hAnsi="Arial" w:cs="Arial"/>
                  <w:color w:val="000000" w:themeColor="text1"/>
                  <w:sz w:val="20"/>
                  <w:szCs w:val="20"/>
                </w:rPr>
                <w:t>Par nekustamā īpašuma nodokli</w:t>
              </w:r>
            </w:hyperlink>
            <w:r w:rsidRPr="0026396D">
              <w:rPr>
                <w:rFonts w:ascii="Arial" w:hAnsi="Arial" w:cs="Arial"/>
                <w:color w:val="000000" w:themeColor="text1"/>
                <w:sz w:val="20"/>
                <w:szCs w:val="20"/>
              </w:rPr>
              <w:t>" </w:t>
            </w:r>
            <w:hyperlink r:id="rId7" w:anchor="p3" w:tgtFrame="_blank" w:history="1">
              <w:r w:rsidRPr="0026396D">
                <w:rPr>
                  <w:rStyle w:val="Hyperlink"/>
                  <w:rFonts w:ascii="Arial" w:hAnsi="Arial" w:cs="Arial"/>
                  <w:color w:val="000000" w:themeColor="text1"/>
                  <w:sz w:val="20"/>
                  <w:szCs w:val="20"/>
                </w:rPr>
                <w:t>3. panta</w:t>
              </w:r>
            </w:hyperlink>
            <w:r w:rsidRPr="0026396D">
              <w:rPr>
                <w:rFonts w:ascii="Arial" w:hAnsi="Arial" w:cs="Arial"/>
                <w:color w:val="000000" w:themeColor="text1"/>
                <w:sz w:val="20"/>
                <w:szCs w:val="20"/>
              </w:rPr>
              <w:t> pirmās daļas 2. punktā minētajiem objektiem, ja īres tiesības uz šiem objektiem nav nostiprinātas zemesgrāmatā</w:t>
            </w:r>
            <w:r>
              <w:rPr>
                <w:rFonts w:ascii="Arial" w:hAnsi="Arial" w:cs="Arial"/>
                <w:color w:val="000000" w:themeColor="text1"/>
                <w:sz w:val="20"/>
                <w:szCs w:val="20"/>
              </w:rPr>
              <w:t>.</w:t>
            </w:r>
          </w:p>
        </w:tc>
        <w:tc>
          <w:tcPr>
            <w:tcW w:w="1280" w:type="dxa"/>
          </w:tcPr>
          <w:p w14:paraId="2FE40FB3" w14:textId="35AED951" w:rsidR="009236F6" w:rsidRPr="00997985" w:rsidRDefault="009236F6" w:rsidP="009236F6">
            <w:pPr>
              <w:jc w:val="both"/>
              <w:rPr>
                <w:rFonts w:ascii="Arial" w:hAnsi="Arial" w:cs="Arial"/>
                <w:sz w:val="20"/>
                <w:szCs w:val="20"/>
              </w:rPr>
            </w:pPr>
            <w:r w:rsidRPr="00997985">
              <w:rPr>
                <w:rFonts w:ascii="Arial" w:hAnsi="Arial" w:cs="Arial"/>
                <w:sz w:val="20"/>
                <w:szCs w:val="20"/>
              </w:rPr>
              <w:t>90%</w:t>
            </w:r>
          </w:p>
        </w:tc>
        <w:tc>
          <w:tcPr>
            <w:tcW w:w="1678" w:type="dxa"/>
          </w:tcPr>
          <w:p w14:paraId="5B3B19CC" w14:textId="6F592B25" w:rsidR="009236F6" w:rsidRPr="0026396D" w:rsidRDefault="009236F6" w:rsidP="009236F6">
            <w:pPr>
              <w:jc w:val="both"/>
              <w:rPr>
                <w:rFonts w:ascii="Arial" w:hAnsi="Arial" w:cs="Arial"/>
                <w:sz w:val="20"/>
                <w:szCs w:val="20"/>
              </w:rPr>
            </w:pPr>
            <w:r>
              <w:rPr>
                <w:rFonts w:ascii="Arial" w:hAnsi="Arial" w:cs="Arial"/>
                <w:sz w:val="20"/>
                <w:szCs w:val="20"/>
              </w:rPr>
              <w:t>zeme, ēkas</w:t>
            </w:r>
          </w:p>
        </w:tc>
        <w:tc>
          <w:tcPr>
            <w:tcW w:w="1911" w:type="dxa"/>
          </w:tcPr>
          <w:p w14:paraId="055983CD" w14:textId="0BA76708"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p>
        </w:tc>
      </w:tr>
      <w:tr w:rsidR="009236F6" w14:paraId="052989B3" w14:textId="77777777" w:rsidTr="00997985">
        <w:tc>
          <w:tcPr>
            <w:tcW w:w="562" w:type="dxa"/>
          </w:tcPr>
          <w:p w14:paraId="79519FDB" w14:textId="66D9262C"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26</w:t>
            </w:r>
          </w:p>
        </w:tc>
        <w:tc>
          <w:tcPr>
            <w:tcW w:w="3823" w:type="dxa"/>
          </w:tcPr>
          <w:p w14:paraId="7148235B" w14:textId="279189BD"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(nomniek</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Pašvaldībai piederošu nekustamo īpašumu, kas tiek izmantots atbilstoši darbības programmas "Izaugsme un nodarbinātība" prioritārā virziena "Vides aizsardzības un resursu izmantošanas efektivitāte" 5.6.2. specifiskā atbalsta mērķa "Teritoriju </w:t>
            </w:r>
            <w:proofErr w:type="spellStart"/>
            <w:r w:rsidRPr="0026396D">
              <w:rPr>
                <w:rFonts w:ascii="Arial" w:hAnsi="Arial" w:cs="Arial"/>
                <w:color w:val="000000" w:themeColor="text1"/>
                <w:sz w:val="20"/>
                <w:szCs w:val="20"/>
              </w:rPr>
              <w:t>revitalizācija</w:t>
            </w:r>
            <w:proofErr w:type="spellEnd"/>
            <w:r w:rsidRPr="0026396D">
              <w:rPr>
                <w:rFonts w:ascii="Arial" w:hAnsi="Arial" w:cs="Arial"/>
                <w:color w:val="000000" w:themeColor="text1"/>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26396D">
              <w:rPr>
                <w:rFonts w:ascii="Arial" w:hAnsi="Arial" w:cs="Arial"/>
                <w:color w:val="000000" w:themeColor="text1"/>
                <w:sz w:val="20"/>
                <w:szCs w:val="20"/>
              </w:rPr>
              <w:t>revitalizācija</w:t>
            </w:r>
            <w:proofErr w:type="spellEnd"/>
            <w:r w:rsidRPr="0026396D">
              <w:rPr>
                <w:rFonts w:ascii="Arial" w:hAnsi="Arial" w:cs="Arial"/>
                <w:color w:val="000000" w:themeColor="text1"/>
                <w:sz w:val="20"/>
                <w:szCs w:val="20"/>
              </w:rPr>
              <w:t xml:space="preserve"> uzņēmējdarbības veicināšanai pašvaldībās" ietvaros īstenojamiem projektiem Nr. 5.6.2.0/19/I/015 "Industriālo teritoriju attīstība Valmierā – 1. kārta" un Nr. 5.6.2.0/20/I/012 "Industriālo teritoriju attīstība Valmierā – 2. kārta" nosacījumiem</w:t>
            </w:r>
            <w:r>
              <w:rPr>
                <w:rFonts w:ascii="Arial" w:hAnsi="Arial" w:cs="Arial"/>
                <w:color w:val="000000" w:themeColor="text1"/>
                <w:sz w:val="20"/>
                <w:szCs w:val="20"/>
              </w:rPr>
              <w:t>.</w:t>
            </w:r>
          </w:p>
        </w:tc>
        <w:tc>
          <w:tcPr>
            <w:tcW w:w="1280" w:type="dxa"/>
          </w:tcPr>
          <w:p w14:paraId="77814833" w14:textId="57F5D8B0" w:rsidR="009236F6" w:rsidRPr="00997985" w:rsidRDefault="009236F6" w:rsidP="009236F6">
            <w:pPr>
              <w:jc w:val="both"/>
              <w:rPr>
                <w:rFonts w:ascii="Arial" w:hAnsi="Arial" w:cs="Arial"/>
                <w:sz w:val="20"/>
                <w:szCs w:val="20"/>
              </w:rPr>
            </w:pPr>
            <w:r w:rsidRPr="00997985">
              <w:rPr>
                <w:rFonts w:ascii="Arial" w:hAnsi="Arial" w:cs="Arial"/>
                <w:sz w:val="20"/>
                <w:szCs w:val="20"/>
              </w:rPr>
              <w:t>90%</w:t>
            </w:r>
          </w:p>
        </w:tc>
        <w:tc>
          <w:tcPr>
            <w:tcW w:w="1678" w:type="dxa"/>
          </w:tcPr>
          <w:p w14:paraId="35BBCD54" w14:textId="6FD05D20" w:rsidR="009236F6" w:rsidRPr="0026396D" w:rsidRDefault="009236F6" w:rsidP="009236F6">
            <w:pPr>
              <w:jc w:val="both"/>
              <w:rPr>
                <w:rFonts w:ascii="Arial" w:hAnsi="Arial" w:cs="Arial"/>
                <w:sz w:val="20"/>
                <w:szCs w:val="20"/>
              </w:rPr>
            </w:pPr>
            <w:r>
              <w:rPr>
                <w:rFonts w:ascii="Arial" w:hAnsi="Arial" w:cs="Arial"/>
                <w:sz w:val="20"/>
                <w:szCs w:val="20"/>
              </w:rPr>
              <w:t>zeme, ēkas</w:t>
            </w:r>
          </w:p>
        </w:tc>
        <w:tc>
          <w:tcPr>
            <w:tcW w:w="1911" w:type="dxa"/>
          </w:tcPr>
          <w:p w14:paraId="00C0F2A6" w14:textId="30286311" w:rsidR="009236F6" w:rsidRPr="003A7324"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p>
        </w:tc>
      </w:tr>
      <w:tr w:rsidR="009236F6" w14:paraId="7EFE1F76" w14:textId="77777777" w:rsidTr="00997985">
        <w:tc>
          <w:tcPr>
            <w:tcW w:w="562" w:type="dxa"/>
          </w:tcPr>
          <w:p w14:paraId="69067459" w14:textId="42413449"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27</w:t>
            </w:r>
          </w:p>
        </w:tc>
        <w:tc>
          <w:tcPr>
            <w:tcW w:w="3823" w:type="dxa"/>
          </w:tcPr>
          <w:p w14:paraId="767BF328" w14:textId="1193DC44" w:rsidR="009236F6" w:rsidRPr="0026396D" w:rsidRDefault="009236F6" w:rsidP="009236F6">
            <w:pPr>
              <w:jc w:val="both"/>
              <w:rPr>
                <w:rFonts w:ascii="Arial" w:hAnsi="Arial" w:cs="Arial"/>
                <w:color w:val="000000" w:themeColor="text1"/>
                <w:sz w:val="20"/>
                <w:szCs w:val="20"/>
              </w:rPr>
            </w:pPr>
            <w:r w:rsidRPr="0026396D">
              <w:rPr>
                <w:rFonts w:ascii="Arial" w:hAnsi="Arial" w:cs="Arial"/>
                <w:color w:val="000000" w:themeColor="text1"/>
                <w:sz w:val="20"/>
                <w:szCs w:val="20"/>
              </w:rPr>
              <w:t>Nodokļa maksātāj</w:t>
            </w:r>
            <w:r>
              <w:rPr>
                <w:rFonts w:ascii="Arial" w:hAnsi="Arial" w:cs="Arial"/>
                <w:color w:val="000000" w:themeColor="text1"/>
                <w:sz w:val="20"/>
                <w:szCs w:val="20"/>
              </w:rPr>
              <w:t>s</w:t>
            </w:r>
            <w:r w:rsidRPr="0026396D">
              <w:rPr>
                <w:rFonts w:ascii="Arial" w:hAnsi="Arial" w:cs="Arial"/>
                <w:color w:val="000000" w:themeColor="text1"/>
                <w:sz w:val="20"/>
                <w:szCs w:val="20"/>
              </w:rPr>
              <w:t xml:space="preserve"> par sporta ēkām (ēkas galvenais lietošanas veids ar kodu 1265), sporta un rekreācijai aprīkotajām teritorijām, ja nekustamais īpašums tiek izmantots publisku sporta nodarbību, pasākumu un sacensību vajadzībām un ir publiski pieejams</w:t>
            </w:r>
            <w:r w:rsidR="003A7324">
              <w:rPr>
                <w:rFonts w:ascii="Arial" w:hAnsi="Arial" w:cs="Arial"/>
                <w:color w:val="000000" w:themeColor="text1"/>
                <w:sz w:val="20"/>
                <w:szCs w:val="20"/>
              </w:rPr>
              <w:t>.</w:t>
            </w:r>
          </w:p>
        </w:tc>
        <w:tc>
          <w:tcPr>
            <w:tcW w:w="1280" w:type="dxa"/>
          </w:tcPr>
          <w:p w14:paraId="0C2C3B2C" w14:textId="12648FDC" w:rsidR="009236F6" w:rsidRPr="00997985" w:rsidRDefault="009236F6" w:rsidP="009236F6">
            <w:pPr>
              <w:jc w:val="both"/>
              <w:rPr>
                <w:rFonts w:ascii="Arial" w:hAnsi="Arial" w:cs="Arial"/>
                <w:sz w:val="20"/>
                <w:szCs w:val="20"/>
              </w:rPr>
            </w:pPr>
            <w:r w:rsidRPr="00997985">
              <w:rPr>
                <w:rFonts w:ascii="Arial" w:hAnsi="Arial" w:cs="Arial"/>
                <w:sz w:val="20"/>
                <w:szCs w:val="20"/>
              </w:rPr>
              <w:t>50%</w:t>
            </w:r>
          </w:p>
        </w:tc>
        <w:tc>
          <w:tcPr>
            <w:tcW w:w="1678" w:type="dxa"/>
          </w:tcPr>
          <w:p w14:paraId="6D1FB4EB" w14:textId="465B3308" w:rsidR="009236F6" w:rsidRDefault="009236F6" w:rsidP="009236F6">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26396D">
              <w:rPr>
                <w:rFonts w:ascii="Arial" w:hAnsi="Arial" w:cs="Arial"/>
                <w:color w:val="000000" w:themeColor="text1"/>
                <w:sz w:val="20"/>
                <w:szCs w:val="20"/>
              </w:rPr>
              <w:t xml:space="preserve">ēka </w:t>
            </w:r>
            <w:r>
              <w:rPr>
                <w:rFonts w:ascii="Arial" w:hAnsi="Arial" w:cs="Arial"/>
                <w:color w:val="000000" w:themeColor="text1"/>
                <w:sz w:val="20"/>
                <w:szCs w:val="20"/>
              </w:rPr>
              <w:t xml:space="preserve">ar </w:t>
            </w:r>
            <w:r w:rsidRPr="0026396D">
              <w:rPr>
                <w:rFonts w:ascii="Arial" w:hAnsi="Arial" w:cs="Arial"/>
                <w:color w:val="000000" w:themeColor="text1"/>
                <w:sz w:val="20"/>
                <w:szCs w:val="20"/>
              </w:rPr>
              <w:t>galven</w:t>
            </w:r>
            <w:r>
              <w:rPr>
                <w:rFonts w:ascii="Arial" w:hAnsi="Arial" w:cs="Arial"/>
                <w:color w:val="000000" w:themeColor="text1"/>
                <w:sz w:val="20"/>
                <w:szCs w:val="20"/>
              </w:rPr>
              <w:t>o</w:t>
            </w:r>
            <w:r w:rsidRPr="0026396D">
              <w:rPr>
                <w:rFonts w:ascii="Arial" w:hAnsi="Arial" w:cs="Arial"/>
                <w:color w:val="000000" w:themeColor="text1"/>
                <w:sz w:val="20"/>
                <w:szCs w:val="20"/>
              </w:rPr>
              <w:t xml:space="preserve"> lietošanas veid</w:t>
            </w:r>
            <w:r>
              <w:rPr>
                <w:rFonts w:ascii="Arial" w:hAnsi="Arial" w:cs="Arial"/>
                <w:color w:val="000000" w:themeColor="text1"/>
                <w:sz w:val="20"/>
                <w:szCs w:val="20"/>
              </w:rPr>
              <w:t>u –</w:t>
            </w:r>
            <w:r w:rsidRPr="0026396D">
              <w:rPr>
                <w:rFonts w:ascii="Arial" w:hAnsi="Arial" w:cs="Arial"/>
                <w:color w:val="000000" w:themeColor="text1"/>
                <w:sz w:val="20"/>
                <w:szCs w:val="20"/>
              </w:rPr>
              <w:t xml:space="preserve"> kods</w:t>
            </w:r>
            <w:r>
              <w:rPr>
                <w:rFonts w:ascii="Arial" w:hAnsi="Arial" w:cs="Arial"/>
                <w:color w:val="000000" w:themeColor="text1"/>
                <w:sz w:val="20"/>
                <w:szCs w:val="20"/>
              </w:rPr>
              <w:t xml:space="preserve"> </w:t>
            </w:r>
            <w:r w:rsidRPr="0026396D">
              <w:rPr>
                <w:rFonts w:ascii="Arial" w:hAnsi="Arial" w:cs="Arial"/>
                <w:color w:val="000000" w:themeColor="text1"/>
                <w:sz w:val="20"/>
                <w:szCs w:val="20"/>
              </w:rPr>
              <w:t>1</w:t>
            </w:r>
            <w:r>
              <w:rPr>
                <w:rFonts w:ascii="Arial" w:hAnsi="Arial" w:cs="Arial"/>
                <w:color w:val="000000" w:themeColor="text1"/>
                <w:sz w:val="20"/>
                <w:szCs w:val="20"/>
              </w:rPr>
              <w:t>265</w:t>
            </w:r>
          </w:p>
          <w:p w14:paraId="17E6C15B" w14:textId="4998384D" w:rsidR="009236F6" w:rsidRPr="0026396D" w:rsidRDefault="009236F6" w:rsidP="009236F6">
            <w:pPr>
              <w:jc w:val="both"/>
              <w:rPr>
                <w:rFonts w:ascii="Arial" w:hAnsi="Arial" w:cs="Arial"/>
                <w:sz w:val="20"/>
                <w:szCs w:val="20"/>
              </w:rPr>
            </w:pPr>
            <w:r>
              <w:rPr>
                <w:rFonts w:ascii="Arial" w:hAnsi="Arial" w:cs="Arial"/>
                <w:color w:val="000000" w:themeColor="text1"/>
                <w:sz w:val="20"/>
                <w:szCs w:val="20"/>
              </w:rPr>
              <w:t>- zeme</w:t>
            </w:r>
          </w:p>
        </w:tc>
        <w:tc>
          <w:tcPr>
            <w:tcW w:w="1911" w:type="dxa"/>
          </w:tcPr>
          <w:p w14:paraId="401E97CB" w14:textId="186D4FC1" w:rsidR="009236F6" w:rsidRDefault="009236F6" w:rsidP="003A7324">
            <w:pPr>
              <w:pStyle w:val="ListParagraph"/>
              <w:numPr>
                <w:ilvl w:val="0"/>
                <w:numId w:val="8"/>
              </w:numPr>
              <w:ind w:left="347"/>
              <w:jc w:val="both"/>
              <w:rPr>
                <w:rFonts w:ascii="Arial" w:hAnsi="Arial" w:cs="Arial"/>
                <w:sz w:val="20"/>
                <w:szCs w:val="20"/>
              </w:rPr>
            </w:pPr>
            <w:r w:rsidRPr="003A7324">
              <w:rPr>
                <w:rFonts w:ascii="Arial" w:hAnsi="Arial" w:cs="Arial"/>
                <w:sz w:val="20"/>
                <w:szCs w:val="20"/>
              </w:rPr>
              <w:t>iesniegums</w:t>
            </w:r>
            <w:r w:rsidR="004B12B4">
              <w:rPr>
                <w:rFonts w:ascii="Arial" w:hAnsi="Arial" w:cs="Arial"/>
                <w:sz w:val="20"/>
                <w:szCs w:val="20"/>
              </w:rPr>
              <w:t>*</w:t>
            </w:r>
            <w:r w:rsidR="003A7324">
              <w:rPr>
                <w:rFonts w:ascii="Arial" w:hAnsi="Arial" w:cs="Arial"/>
                <w:sz w:val="20"/>
                <w:szCs w:val="20"/>
              </w:rPr>
              <w:t>;</w:t>
            </w:r>
          </w:p>
          <w:p w14:paraId="0A9486A5" w14:textId="30404138" w:rsidR="003A7324" w:rsidRPr="003A7324" w:rsidRDefault="003A7324" w:rsidP="003A7324">
            <w:pPr>
              <w:pStyle w:val="ListParagraph"/>
              <w:numPr>
                <w:ilvl w:val="0"/>
                <w:numId w:val="8"/>
              </w:numPr>
              <w:ind w:left="347"/>
              <w:jc w:val="both"/>
              <w:rPr>
                <w:rFonts w:ascii="Arial" w:hAnsi="Arial" w:cs="Arial"/>
                <w:sz w:val="20"/>
                <w:szCs w:val="20"/>
              </w:rPr>
            </w:pPr>
            <w:r>
              <w:rPr>
                <w:rFonts w:ascii="Arial" w:hAnsi="Arial" w:cs="Arial"/>
                <w:sz w:val="20"/>
                <w:szCs w:val="20"/>
              </w:rPr>
              <w:t>apliecinājums, ka nekustamais īpašuma tiek izmantots publisku sporta nodarbību, pasākumu un sacensību vajadzībām un ir publiski pieejams</w:t>
            </w:r>
          </w:p>
        </w:tc>
      </w:tr>
    </w:tbl>
    <w:p w14:paraId="0DC6DFF4" w14:textId="77777777" w:rsidR="002C279E" w:rsidRDefault="002C279E" w:rsidP="00A85EF0">
      <w:pPr>
        <w:jc w:val="both"/>
        <w:rPr>
          <w:rFonts w:ascii="Arial" w:hAnsi="Arial" w:cs="Arial"/>
        </w:rPr>
      </w:pPr>
    </w:p>
    <w:p w14:paraId="7956729F" w14:textId="77777777" w:rsidR="00584E4E" w:rsidRDefault="00584E4E" w:rsidP="00A85EF0">
      <w:pPr>
        <w:jc w:val="both"/>
        <w:rPr>
          <w:rFonts w:ascii="Arial" w:hAnsi="Arial" w:cs="Arial"/>
        </w:rPr>
      </w:pPr>
    </w:p>
    <w:p w14:paraId="30B4462C" w14:textId="077484FF" w:rsidR="00A85EF0" w:rsidRDefault="004B12B4" w:rsidP="004B12B4">
      <w:pPr>
        <w:pBdr>
          <w:top w:val="single" w:sz="4" w:space="1" w:color="auto"/>
        </w:pBdr>
        <w:jc w:val="both"/>
        <w:rPr>
          <w:rFonts w:ascii="Arial" w:hAnsi="Arial" w:cs="Arial"/>
          <w:b/>
          <w:bCs/>
          <w:color w:val="000000" w:themeColor="text1"/>
        </w:rPr>
      </w:pPr>
      <w:bookmarkStart w:id="0" w:name="p15"/>
      <w:bookmarkStart w:id="1" w:name="p-1032345"/>
      <w:bookmarkStart w:id="2" w:name="p16"/>
      <w:bookmarkStart w:id="3" w:name="p-1032346"/>
      <w:bookmarkStart w:id="4" w:name="p18"/>
      <w:bookmarkStart w:id="5" w:name="p-1032348"/>
      <w:bookmarkStart w:id="6" w:name="p19"/>
      <w:bookmarkStart w:id="7" w:name="p-1032350"/>
      <w:bookmarkStart w:id="8" w:name="p21"/>
      <w:bookmarkStart w:id="9" w:name="p-1032352"/>
      <w:bookmarkStart w:id="10" w:name="p22"/>
      <w:bookmarkStart w:id="11" w:name="p-1032353"/>
      <w:bookmarkStart w:id="12" w:name="p24"/>
      <w:bookmarkStart w:id="13" w:name="p-1032355"/>
      <w:bookmarkStart w:id="14" w:name="p26"/>
      <w:bookmarkStart w:id="15" w:name="p-1369099"/>
      <w:bookmarkStart w:id="16" w:name="p27"/>
      <w:bookmarkStart w:id="17" w:name="p-10323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Arial" w:hAnsi="Arial" w:cs="Arial"/>
          <w:b/>
          <w:bCs/>
          <w:color w:val="000000" w:themeColor="text1"/>
        </w:rPr>
        <w:t>*</w:t>
      </w:r>
      <w:r w:rsidR="00584E4E" w:rsidRPr="004B12B4">
        <w:rPr>
          <w:rFonts w:ascii="Arial" w:hAnsi="Arial" w:cs="Arial"/>
          <w:b/>
          <w:bCs/>
          <w:color w:val="000000" w:themeColor="text1"/>
        </w:rPr>
        <w:t>Iesniegums iesniedzams</w:t>
      </w:r>
      <w:r w:rsidRPr="004B12B4">
        <w:rPr>
          <w:rFonts w:ascii="Arial" w:hAnsi="Arial" w:cs="Arial"/>
          <w:b/>
          <w:bCs/>
          <w:color w:val="000000" w:themeColor="text1"/>
        </w:rPr>
        <w:t xml:space="preserve"> no taksācijas gada 2.janvāra līdz taksācijas gada 30.novembrim</w:t>
      </w:r>
      <w:r>
        <w:rPr>
          <w:rFonts w:ascii="Arial" w:hAnsi="Arial" w:cs="Arial"/>
          <w:b/>
          <w:bCs/>
          <w:color w:val="000000" w:themeColor="text1"/>
        </w:rPr>
        <w:t>!!!</w:t>
      </w:r>
    </w:p>
    <w:p w14:paraId="4178D936" w14:textId="6A1BAF19" w:rsidR="004B12B4" w:rsidRDefault="004B12B4" w:rsidP="002C279E">
      <w:pPr>
        <w:jc w:val="both"/>
        <w:rPr>
          <w:rFonts w:ascii="Arial" w:hAnsi="Arial" w:cs="Arial"/>
          <w:b/>
          <w:bCs/>
          <w:color w:val="000000" w:themeColor="text1"/>
        </w:rPr>
      </w:pPr>
      <w:r>
        <w:rPr>
          <w:rFonts w:ascii="Arial" w:hAnsi="Arial" w:cs="Arial"/>
          <w:b/>
          <w:bCs/>
          <w:color w:val="000000" w:themeColor="text1"/>
        </w:rPr>
        <w:t xml:space="preserve">**SN 15.un 16.punktā noteiktajām NĪN kategorijām, iesniegums </w:t>
      </w:r>
      <w:r w:rsidRPr="004B12B4">
        <w:rPr>
          <w:rFonts w:ascii="Arial" w:hAnsi="Arial" w:cs="Arial"/>
          <w:b/>
          <w:bCs/>
          <w:color w:val="000000" w:themeColor="text1"/>
        </w:rPr>
        <w:t xml:space="preserve">iesniedzams no taksācijas gada </w:t>
      </w:r>
      <w:r>
        <w:rPr>
          <w:rFonts w:ascii="Arial" w:hAnsi="Arial" w:cs="Arial"/>
          <w:b/>
          <w:bCs/>
          <w:color w:val="000000" w:themeColor="text1"/>
        </w:rPr>
        <w:t>1.jūlija</w:t>
      </w:r>
      <w:r w:rsidRPr="004B12B4">
        <w:rPr>
          <w:rFonts w:ascii="Arial" w:hAnsi="Arial" w:cs="Arial"/>
          <w:b/>
          <w:bCs/>
          <w:color w:val="000000" w:themeColor="text1"/>
        </w:rPr>
        <w:t xml:space="preserve"> līdz taksācijas gada 30.novembrim</w:t>
      </w:r>
      <w:r>
        <w:rPr>
          <w:rFonts w:ascii="Arial" w:hAnsi="Arial" w:cs="Arial"/>
          <w:b/>
          <w:bCs/>
          <w:color w:val="000000" w:themeColor="text1"/>
        </w:rPr>
        <w:t>!!!</w:t>
      </w:r>
    </w:p>
    <w:p w14:paraId="14CBD905" w14:textId="730AFC0D" w:rsidR="004B12B4" w:rsidRPr="004B12B4" w:rsidRDefault="004B12B4" w:rsidP="004B12B4">
      <w:pPr>
        <w:pBdr>
          <w:bottom w:val="single" w:sz="4" w:space="1" w:color="auto"/>
        </w:pBdr>
        <w:jc w:val="both"/>
        <w:rPr>
          <w:rFonts w:ascii="Arial" w:hAnsi="Arial" w:cs="Arial"/>
          <w:b/>
          <w:bCs/>
          <w:color w:val="000000" w:themeColor="text1"/>
        </w:rPr>
      </w:pPr>
      <w:r w:rsidRPr="004B12B4">
        <w:rPr>
          <w:rFonts w:ascii="Arial" w:hAnsi="Arial" w:cs="Arial"/>
          <w:b/>
          <w:bCs/>
          <w:color w:val="000000" w:themeColor="text1"/>
        </w:rPr>
        <w:t>Nodokļa maksātāju kategorijas, kuri ir saimnieciskās darbības veicēji un pretendē uz atvieglojumu, aizpilda </w:t>
      </w:r>
      <w:proofErr w:type="spellStart"/>
      <w:r w:rsidRPr="004B12B4">
        <w:rPr>
          <w:rFonts w:ascii="Arial" w:hAnsi="Arial" w:cs="Arial"/>
          <w:b/>
          <w:bCs/>
          <w:i/>
          <w:iCs/>
          <w:color w:val="000000" w:themeColor="text1"/>
          <w:u w:val="single"/>
        </w:rPr>
        <w:t>de</w:t>
      </w:r>
      <w:proofErr w:type="spellEnd"/>
      <w:r w:rsidRPr="004B12B4">
        <w:rPr>
          <w:rFonts w:ascii="Arial" w:hAnsi="Arial" w:cs="Arial"/>
          <w:b/>
          <w:bCs/>
          <w:i/>
          <w:iCs/>
          <w:color w:val="000000" w:themeColor="text1"/>
          <w:u w:val="single"/>
        </w:rPr>
        <w:t xml:space="preserve"> </w:t>
      </w:r>
      <w:proofErr w:type="spellStart"/>
      <w:r w:rsidRPr="004B12B4">
        <w:rPr>
          <w:rFonts w:ascii="Arial" w:hAnsi="Arial" w:cs="Arial"/>
          <w:b/>
          <w:bCs/>
          <w:i/>
          <w:iCs/>
          <w:color w:val="000000" w:themeColor="text1"/>
          <w:u w:val="single"/>
        </w:rPr>
        <w:t>minimis</w:t>
      </w:r>
      <w:proofErr w:type="spellEnd"/>
      <w:r w:rsidRPr="004B12B4">
        <w:rPr>
          <w:rFonts w:ascii="Arial" w:hAnsi="Arial" w:cs="Arial"/>
          <w:b/>
          <w:bCs/>
          <w:color w:val="000000" w:themeColor="text1"/>
          <w:u w:val="single"/>
        </w:rPr>
        <w:t> atbalsta uzskaites veidlapu elektroniskajā sistēmā</w:t>
      </w:r>
      <w:r w:rsidRPr="004B12B4">
        <w:rPr>
          <w:rFonts w:ascii="Arial" w:hAnsi="Arial" w:cs="Arial"/>
          <w:b/>
          <w:bCs/>
          <w:color w:val="000000" w:themeColor="text1"/>
        </w:rPr>
        <w:t xml:space="preserve"> un </w:t>
      </w:r>
      <w:r w:rsidRPr="004B12B4">
        <w:rPr>
          <w:rFonts w:ascii="Arial" w:hAnsi="Arial" w:cs="Arial"/>
          <w:b/>
          <w:bCs/>
          <w:color w:val="000000" w:themeColor="text1"/>
          <w:u w:val="single"/>
        </w:rPr>
        <w:t>veic veidlapas apstiprināšanu</w:t>
      </w:r>
      <w:r w:rsidRPr="004B12B4">
        <w:rPr>
          <w:rFonts w:ascii="Arial" w:hAnsi="Arial" w:cs="Arial"/>
          <w:b/>
          <w:bCs/>
          <w:color w:val="000000" w:themeColor="text1"/>
        </w:rPr>
        <w:t xml:space="preserve">. Piesakoties atvieglojumam, </w:t>
      </w:r>
      <w:r w:rsidRPr="004B12B4">
        <w:rPr>
          <w:rFonts w:ascii="Arial" w:hAnsi="Arial" w:cs="Arial"/>
          <w:b/>
          <w:bCs/>
          <w:color w:val="000000" w:themeColor="text1"/>
          <w:u w:val="single"/>
        </w:rPr>
        <w:t>iesniegumā norāda veidlapas identifikācijas numuru</w:t>
      </w:r>
      <w:r>
        <w:rPr>
          <w:rFonts w:ascii="Arial" w:hAnsi="Arial" w:cs="Arial"/>
          <w:b/>
          <w:bCs/>
          <w:color w:val="000000" w:themeColor="text1"/>
        </w:rPr>
        <w:t>!!!</w:t>
      </w:r>
    </w:p>
    <w:p w14:paraId="6E636294" w14:textId="35FE013C" w:rsidR="001E0710" w:rsidRPr="0080423B" w:rsidRDefault="00A85EF0" w:rsidP="0080423B">
      <w:pPr>
        <w:jc w:val="both"/>
        <w:rPr>
          <w:rFonts w:ascii="Arial" w:hAnsi="Arial" w:cs="Arial"/>
        </w:rPr>
      </w:pPr>
      <w:r w:rsidRPr="00CD4B83">
        <w:rPr>
          <w:rFonts w:ascii="Arial" w:hAnsi="Arial" w:cs="Arial"/>
        </w:rPr>
        <w:t xml:space="preserve">Lai saņemtu NĪN atvieglojumu, </w:t>
      </w:r>
      <w:r w:rsidR="002C279E">
        <w:rPr>
          <w:rFonts w:ascii="Arial" w:hAnsi="Arial" w:cs="Arial"/>
        </w:rPr>
        <w:t>saimnieciskās darbības veicējam</w:t>
      </w:r>
      <w:r w:rsidR="00A667F0" w:rsidRPr="00A667F0">
        <w:rPr>
          <w:rFonts w:ascii="Arial" w:hAnsi="Arial" w:cs="Arial"/>
        </w:rPr>
        <w:t xml:space="preserve"> jautājuma par atvieglojumu piešķiršanu izskatīšanas brīdī</w:t>
      </w:r>
      <w:r w:rsidR="00A667F0">
        <w:rPr>
          <w:rFonts w:ascii="Arial" w:hAnsi="Arial" w:cs="Arial"/>
        </w:rPr>
        <w:t xml:space="preserve">, </w:t>
      </w:r>
      <w:r w:rsidR="00A667F0" w:rsidRPr="00A667F0">
        <w:rPr>
          <w:rFonts w:ascii="Arial" w:hAnsi="Arial" w:cs="Arial"/>
        </w:rPr>
        <w:t>nekustamā īpašuma nodokļa parāds</w:t>
      </w:r>
      <w:r w:rsidR="00A667F0">
        <w:rPr>
          <w:rFonts w:ascii="Arial" w:hAnsi="Arial" w:cs="Arial"/>
        </w:rPr>
        <w:t xml:space="preserve"> nedrīkst būt</w:t>
      </w:r>
      <w:r w:rsidR="00A667F0" w:rsidRPr="00A667F0">
        <w:rPr>
          <w:rFonts w:ascii="Arial" w:hAnsi="Arial" w:cs="Arial"/>
        </w:rPr>
        <w:t xml:space="preserve"> lielāks par </w:t>
      </w:r>
      <w:r w:rsidR="001A09D1">
        <w:rPr>
          <w:rFonts w:ascii="Arial" w:hAnsi="Arial" w:cs="Arial"/>
        </w:rPr>
        <w:t>15</w:t>
      </w:r>
      <w:r w:rsidR="00A667F0" w:rsidRPr="00A667F0">
        <w:rPr>
          <w:rFonts w:ascii="Arial" w:hAnsi="Arial" w:cs="Arial"/>
        </w:rPr>
        <w:t> </w:t>
      </w:r>
      <w:proofErr w:type="spellStart"/>
      <w:r w:rsidR="00A667F0" w:rsidRPr="00A667F0">
        <w:rPr>
          <w:rFonts w:ascii="Arial" w:hAnsi="Arial" w:cs="Arial"/>
          <w:i/>
          <w:iCs/>
        </w:rPr>
        <w:t>euro</w:t>
      </w:r>
      <w:proofErr w:type="spellEnd"/>
      <w:r w:rsidR="001A09D1" w:rsidRPr="001A09D1">
        <w:rPr>
          <w:rFonts w:ascii="Arial" w:hAnsi="Arial" w:cs="Arial"/>
        </w:rPr>
        <w:t xml:space="preserve"> un Valsts ieņēmumu dienesta administrēto nodokļu parādi, kas ir lielāki par 150 </w:t>
      </w:r>
      <w:proofErr w:type="spellStart"/>
      <w:r w:rsidR="001A09D1" w:rsidRPr="001A09D1">
        <w:rPr>
          <w:rFonts w:ascii="Arial" w:hAnsi="Arial" w:cs="Arial"/>
          <w:i/>
          <w:iCs/>
        </w:rPr>
        <w:t>euro</w:t>
      </w:r>
      <w:proofErr w:type="spellEnd"/>
      <w:r w:rsidRPr="00CD4B83">
        <w:rPr>
          <w:rFonts w:ascii="Arial" w:hAnsi="Arial" w:cs="Arial"/>
        </w:rPr>
        <w:t>.</w:t>
      </w:r>
    </w:p>
    <w:sectPr w:rsidR="001E0710" w:rsidRPr="0080423B" w:rsidSect="00584E4E">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679"/>
    <w:multiLevelType w:val="hybridMultilevel"/>
    <w:tmpl w:val="DA7A2E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5162E"/>
    <w:multiLevelType w:val="hybridMultilevel"/>
    <w:tmpl w:val="4D6C85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F871FE"/>
    <w:multiLevelType w:val="hybridMultilevel"/>
    <w:tmpl w:val="1D64EFA4"/>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7E2D7A"/>
    <w:multiLevelType w:val="hybridMultilevel"/>
    <w:tmpl w:val="2B3C0200"/>
    <w:lvl w:ilvl="0" w:tplc="9B825F94">
      <w:start w:val="1"/>
      <w:numFmt w:val="bullet"/>
      <w:lvlText w:val="-"/>
      <w:lvlJc w:val="left"/>
      <w:pPr>
        <w:ind w:left="720" w:hanging="360"/>
      </w:pPr>
      <w:rPr>
        <w:rFonts w:ascii="Arial" w:eastAsiaTheme="minorHAnsi" w:hAnsi="Arial" w:cs="Aria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A5205D"/>
    <w:multiLevelType w:val="hybridMultilevel"/>
    <w:tmpl w:val="B562F97A"/>
    <w:lvl w:ilvl="0" w:tplc="45CC1736">
      <w:start w:val="2"/>
      <w:numFmt w:val="bullet"/>
      <w:lvlText w:val=""/>
      <w:lvlJc w:val="left"/>
      <w:pPr>
        <w:ind w:left="1080" w:hanging="360"/>
      </w:pPr>
      <w:rPr>
        <w:rFonts w:ascii="Symbol" w:eastAsiaTheme="minorHAnsi"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DE63A8A"/>
    <w:multiLevelType w:val="hybridMultilevel"/>
    <w:tmpl w:val="6994C58A"/>
    <w:lvl w:ilvl="0" w:tplc="D4183E5A">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109187E"/>
    <w:multiLevelType w:val="hybridMultilevel"/>
    <w:tmpl w:val="9634C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8474EC"/>
    <w:multiLevelType w:val="hybridMultilevel"/>
    <w:tmpl w:val="1D64EFA4"/>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B5229"/>
    <w:multiLevelType w:val="hybridMultilevel"/>
    <w:tmpl w:val="1D64EFA4"/>
    <w:lvl w:ilvl="0" w:tplc="589A747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3420926">
    <w:abstractNumId w:val="0"/>
  </w:num>
  <w:num w:numId="2" w16cid:durableId="1183665751">
    <w:abstractNumId w:val="1"/>
  </w:num>
  <w:num w:numId="3" w16cid:durableId="331375810">
    <w:abstractNumId w:val="4"/>
  </w:num>
  <w:num w:numId="4" w16cid:durableId="1680232751">
    <w:abstractNumId w:val="6"/>
  </w:num>
  <w:num w:numId="5" w16cid:durableId="1697124063">
    <w:abstractNumId w:val="8"/>
  </w:num>
  <w:num w:numId="6" w16cid:durableId="1718040462">
    <w:abstractNumId w:val="2"/>
  </w:num>
  <w:num w:numId="7" w16cid:durableId="1602952407">
    <w:abstractNumId w:val="7"/>
  </w:num>
  <w:num w:numId="8" w16cid:durableId="1892500205">
    <w:abstractNumId w:val="3"/>
  </w:num>
  <w:num w:numId="9" w16cid:durableId="1039285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F0"/>
    <w:rsid w:val="00094392"/>
    <w:rsid w:val="001A09D1"/>
    <w:rsid w:val="001E0710"/>
    <w:rsid w:val="0026396D"/>
    <w:rsid w:val="002C279E"/>
    <w:rsid w:val="003A7324"/>
    <w:rsid w:val="004B12B4"/>
    <w:rsid w:val="00570972"/>
    <w:rsid w:val="00584E4E"/>
    <w:rsid w:val="005D35C1"/>
    <w:rsid w:val="0080423B"/>
    <w:rsid w:val="00865FEE"/>
    <w:rsid w:val="009236F6"/>
    <w:rsid w:val="00997985"/>
    <w:rsid w:val="00A65CC4"/>
    <w:rsid w:val="00A667F0"/>
    <w:rsid w:val="00A85EF0"/>
    <w:rsid w:val="00B371A4"/>
    <w:rsid w:val="00D15FB9"/>
    <w:rsid w:val="00EA12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E6BC"/>
  <w15:chartTrackingRefBased/>
  <w15:docId w15:val="{2BA117B0-A34E-4703-A8C6-4F04DB2F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EF0"/>
    <w:rPr>
      <w:color w:val="0563C1" w:themeColor="hyperlink"/>
      <w:u w:val="single"/>
    </w:rPr>
  </w:style>
  <w:style w:type="paragraph" w:styleId="ListParagraph">
    <w:name w:val="List Paragraph"/>
    <w:basedOn w:val="Normal"/>
    <w:uiPriority w:val="34"/>
    <w:qFormat/>
    <w:rsid w:val="00A85EF0"/>
    <w:pPr>
      <w:ind w:left="720"/>
      <w:contextualSpacing/>
    </w:pPr>
  </w:style>
  <w:style w:type="paragraph" w:customStyle="1" w:styleId="tv213">
    <w:name w:val="tv213"/>
    <w:basedOn w:val="Normal"/>
    <w:rsid w:val="002C27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2C279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styleId="TableGrid">
    <w:name w:val="Table Grid"/>
    <w:basedOn w:val="TableNormal"/>
    <w:uiPriority w:val="39"/>
    <w:rsid w:val="002C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096341">
      <w:bodyDiv w:val="1"/>
      <w:marLeft w:val="0"/>
      <w:marRight w:val="0"/>
      <w:marTop w:val="0"/>
      <w:marBottom w:val="0"/>
      <w:divBdr>
        <w:top w:val="none" w:sz="0" w:space="0" w:color="auto"/>
        <w:left w:val="none" w:sz="0" w:space="0" w:color="auto"/>
        <w:bottom w:val="none" w:sz="0" w:space="0" w:color="auto"/>
        <w:right w:val="none" w:sz="0" w:space="0" w:color="auto"/>
      </w:divBdr>
      <w:divsChild>
        <w:div w:id="52505939">
          <w:marLeft w:val="0"/>
          <w:marRight w:val="0"/>
          <w:marTop w:val="0"/>
          <w:marBottom w:val="0"/>
          <w:divBdr>
            <w:top w:val="none" w:sz="0" w:space="0" w:color="auto"/>
            <w:left w:val="none" w:sz="0" w:space="0" w:color="auto"/>
            <w:bottom w:val="none" w:sz="0" w:space="0" w:color="auto"/>
            <w:right w:val="none" w:sz="0" w:space="0" w:color="auto"/>
          </w:divBdr>
        </w:div>
        <w:div w:id="1352487143">
          <w:marLeft w:val="0"/>
          <w:marRight w:val="0"/>
          <w:marTop w:val="0"/>
          <w:marBottom w:val="0"/>
          <w:divBdr>
            <w:top w:val="none" w:sz="0" w:space="0" w:color="auto"/>
            <w:left w:val="none" w:sz="0" w:space="0" w:color="auto"/>
            <w:bottom w:val="none" w:sz="0" w:space="0" w:color="auto"/>
            <w:right w:val="none" w:sz="0" w:space="0" w:color="auto"/>
          </w:divBdr>
        </w:div>
        <w:div w:id="1100489581">
          <w:marLeft w:val="0"/>
          <w:marRight w:val="0"/>
          <w:marTop w:val="0"/>
          <w:marBottom w:val="0"/>
          <w:divBdr>
            <w:top w:val="none" w:sz="0" w:space="0" w:color="auto"/>
            <w:left w:val="none" w:sz="0" w:space="0" w:color="auto"/>
            <w:bottom w:val="none" w:sz="0" w:space="0" w:color="auto"/>
            <w:right w:val="none" w:sz="0" w:space="0" w:color="auto"/>
          </w:divBdr>
        </w:div>
        <w:div w:id="771585666">
          <w:marLeft w:val="0"/>
          <w:marRight w:val="0"/>
          <w:marTop w:val="0"/>
          <w:marBottom w:val="0"/>
          <w:divBdr>
            <w:top w:val="none" w:sz="0" w:space="0" w:color="auto"/>
            <w:left w:val="none" w:sz="0" w:space="0" w:color="auto"/>
            <w:bottom w:val="none" w:sz="0" w:space="0" w:color="auto"/>
            <w:right w:val="none" w:sz="0" w:space="0" w:color="auto"/>
          </w:divBdr>
        </w:div>
        <w:div w:id="104543397">
          <w:marLeft w:val="0"/>
          <w:marRight w:val="0"/>
          <w:marTop w:val="0"/>
          <w:marBottom w:val="0"/>
          <w:divBdr>
            <w:top w:val="none" w:sz="0" w:space="0" w:color="auto"/>
            <w:left w:val="none" w:sz="0" w:space="0" w:color="auto"/>
            <w:bottom w:val="none" w:sz="0" w:space="0" w:color="auto"/>
            <w:right w:val="none" w:sz="0" w:space="0" w:color="auto"/>
          </w:divBdr>
        </w:div>
        <w:div w:id="976496087">
          <w:marLeft w:val="0"/>
          <w:marRight w:val="0"/>
          <w:marTop w:val="0"/>
          <w:marBottom w:val="0"/>
          <w:divBdr>
            <w:top w:val="none" w:sz="0" w:space="0" w:color="auto"/>
            <w:left w:val="none" w:sz="0" w:space="0" w:color="auto"/>
            <w:bottom w:val="none" w:sz="0" w:space="0" w:color="auto"/>
            <w:right w:val="none" w:sz="0" w:space="0" w:color="auto"/>
          </w:divBdr>
        </w:div>
        <w:div w:id="895241994">
          <w:marLeft w:val="0"/>
          <w:marRight w:val="0"/>
          <w:marTop w:val="0"/>
          <w:marBottom w:val="0"/>
          <w:divBdr>
            <w:top w:val="none" w:sz="0" w:space="0" w:color="auto"/>
            <w:left w:val="none" w:sz="0" w:space="0" w:color="auto"/>
            <w:bottom w:val="none" w:sz="0" w:space="0" w:color="auto"/>
            <w:right w:val="none" w:sz="0" w:space="0" w:color="auto"/>
          </w:divBdr>
        </w:div>
        <w:div w:id="1102529681">
          <w:marLeft w:val="0"/>
          <w:marRight w:val="0"/>
          <w:marTop w:val="0"/>
          <w:marBottom w:val="0"/>
          <w:divBdr>
            <w:top w:val="none" w:sz="0" w:space="0" w:color="auto"/>
            <w:left w:val="none" w:sz="0" w:space="0" w:color="auto"/>
            <w:bottom w:val="none" w:sz="0" w:space="0" w:color="auto"/>
            <w:right w:val="none" w:sz="0" w:space="0" w:color="auto"/>
          </w:divBdr>
        </w:div>
        <w:div w:id="321592312">
          <w:marLeft w:val="0"/>
          <w:marRight w:val="0"/>
          <w:marTop w:val="0"/>
          <w:marBottom w:val="0"/>
          <w:divBdr>
            <w:top w:val="none" w:sz="0" w:space="0" w:color="auto"/>
            <w:left w:val="none" w:sz="0" w:space="0" w:color="auto"/>
            <w:bottom w:val="none" w:sz="0" w:space="0" w:color="auto"/>
            <w:right w:val="none" w:sz="0" w:space="0" w:color="auto"/>
          </w:divBdr>
        </w:div>
        <w:div w:id="2127698617">
          <w:marLeft w:val="0"/>
          <w:marRight w:val="0"/>
          <w:marTop w:val="0"/>
          <w:marBottom w:val="0"/>
          <w:divBdr>
            <w:top w:val="none" w:sz="0" w:space="0" w:color="auto"/>
            <w:left w:val="none" w:sz="0" w:space="0" w:color="auto"/>
            <w:bottom w:val="none" w:sz="0" w:space="0" w:color="auto"/>
            <w:right w:val="none" w:sz="0" w:space="0" w:color="auto"/>
          </w:divBdr>
        </w:div>
        <w:div w:id="1181701970">
          <w:marLeft w:val="0"/>
          <w:marRight w:val="0"/>
          <w:marTop w:val="0"/>
          <w:marBottom w:val="0"/>
          <w:divBdr>
            <w:top w:val="none" w:sz="0" w:space="0" w:color="auto"/>
            <w:left w:val="none" w:sz="0" w:space="0" w:color="auto"/>
            <w:bottom w:val="none" w:sz="0" w:space="0" w:color="auto"/>
            <w:right w:val="none" w:sz="0" w:space="0" w:color="auto"/>
          </w:divBdr>
        </w:div>
        <w:div w:id="1961952293">
          <w:marLeft w:val="0"/>
          <w:marRight w:val="0"/>
          <w:marTop w:val="0"/>
          <w:marBottom w:val="0"/>
          <w:divBdr>
            <w:top w:val="none" w:sz="0" w:space="0" w:color="auto"/>
            <w:left w:val="none" w:sz="0" w:space="0" w:color="auto"/>
            <w:bottom w:val="none" w:sz="0" w:space="0" w:color="auto"/>
            <w:right w:val="none" w:sz="0" w:space="0" w:color="auto"/>
          </w:divBdr>
        </w:div>
        <w:div w:id="354814411">
          <w:marLeft w:val="0"/>
          <w:marRight w:val="0"/>
          <w:marTop w:val="0"/>
          <w:marBottom w:val="0"/>
          <w:divBdr>
            <w:top w:val="none" w:sz="0" w:space="0" w:color="auto"/>
            <w:left w:val="none" w:sz="0" w:space="0" w:color="auto"/>
            <w:bottom w:val="none" w:sz="0" w:space="0" w:color="auto"/>
            <w:right w:val="none" w:sz="0" w:space="0" w:color="auto"/>
          </w:divBdr>
        </w:div>
        <w:div w:id="961151944">
          <w:marLeft w:val="0"/>
          <w:marRight w:val="0"/>
          <w:marTop w:val="0"/>
          <w:marBottom w:val="0"/>
          <w:divBdr>
            <w:top w:val="none" w:sz="0" w:space="0" w:color="auto"/>
            <w:left w:val="none" w:sz="0" w:space="0" w:color="auto"/>
            <w:bottom w:val="none" w:sz="0" w:space="0" w:color="auto"/>
            <w:right w:val="none" w:sz="0" w:space="0" w:color="auto"/>
          </w:divBdr>
        </w:div>
        <w:div w:id="60758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43913-par-nekustama-ipasuma-nodok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3913-par-nekustama-ipasuma-nodokli" TargetMode="External"/><Relationship Id="rId5" Type="http://schemas.openxmlformats.org/officeDocument/2006/relationships/hyperlink" Target="https://likumi.lv/ta/id/258572-buvniecibas-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4991</Words>
  <Characters>2845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Aija Ose</cp:lastModifiedBy>
  <cp:revision>3</cp:revision>
  <dcterms:created xsi:type="dcterms:W3CDTF">2024-11-28T11:43:00Z</dcterms:created>
  <dcterms:modified xsi:type="dcterms:W3CDTF">2024-11-28T13:11:00Z</dcterms:modified>
</cp:coreProperties>
</file>